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3EDA" w:rsidRDefault="005517DC">
      <w:pPr>
        <w:spacing w:after="0" w:line="240" w:lineRule="auto"/>
        <w:ind w:left="0" w:hanging="2"/>
        <w:jc w:val="center"/>
        <w:rPr>
          <w:rFonts w:ascii="Verdana" w:eastAsia="Verdana" w:hAnsi="Verdana" w:cs="Verdana"/>
          <w:b/>
          <w:sz w:val="20"/>
          <w:szCs w:val="20"/>
        </w:rPr>
      </w:pPr>
      <w:r>
        <w:rPr>
          <w:rFonts w:ascii="Verdana" w:eastAsia="Verdana" w:hAnsi="Verdana" w:cs="Verdana"/>
          <w:b/>
          <w:sz w:val="20"/>
          <w:szCs w:val="20"/>
        </w:rPr>
        <w:t xml:space="preserve">Radiografía Pony Malta 330 </w:t>
      </w:r>
      <w:proofErr w:type="spellStart"/>
      <w:r>
        <w:rPr>
          <w:rFonts w:ascii="Verdana" w:eastAsia="Verdana" w:hAnsi="Verdana" w:cs="Verdana"/>
          <w:b/>
          <w:sz w:val="20"/>
          <w:szCs w:val="20"/>
        </w:rPr>
        <w:t>mL</w:t>
      </w:r>
      <w:proofErr w:type="spellEnd"/>
    </w:p>
    <w:p w14:paraId="00000002" w14:textId="77777777" w:rsidR="00893EDA" w:rsidRDefault="005517DC">
      <w:pPr>
        <w:spacing w:after="0" w:line="240" w:lineRule="auto"/>
        <w:ind w:left="0" w:right="62" w:hanging="2"/>
        <w:jc w:val="center"/>
        <w:rPr>
          <w:rFonts w:ascii="Verdana" w:eastAsia="Verdana" w:hAnsi="Verdana" w:cs="Verdana"/>
          <w:sz w:val="20"/>
          <w:szCs w:val="20"/>
        </w:rPr>
      </w:pPr>
      <w:r>
        <w:rPr>
          <w:rFonts w:ascii="Verdana" w:eastAsia="Verdana" w:hAnsi="Verdana" w:cs="Verdana"/>
          <w:sz w:val="20"/>
          <w:szCs w:val="20"/>
        </w:rPr>
        <w:t xml:space="preserve">Tamaño de la porción: 240 </w:t>
      </w:r>
      <w:proofErr w:type="spellStart"/>
      <w:r>
        <w:rPr>
          <w:rFonts w:ascii="Verdana" w:eastAsia="Verdana" w:hAnsi="Verdana" w:cs="Verdana"/>
          <w:sz w:val="20"/>
          <w:szCs w:val="20"/>
        </w:rPr>
        <w:t>mL</w:t>
      </w:r>
      <w:proofErr w:type="spellEnd"/>
      <w:r>
        <w:rPr>
          <w:rFonts w:ascii="Verdana" w:eastAsia="Verdana" w:hAnsi="Verdana" w:cs="Verdana"/>
          <w:sz w:val="20"/>
          <w:szCs w:val="20"/>
        </w:rPr>
        <w:t xml:space="preserve"> (1 vaso), el envase contiene 330 </w:t>
      </w:r>
      <w:proofErr w:type="spellStart"/>
      <w:r>
        <w:rPr>
          <w:rFonts w:ascii="Verdana" w:eastAsia="Verdana" w:hAnsi="Verdana" w:cs="Verdana"/>
          <w:sz w:val="20"/>
          <w:szCs w:val="20"/>
        </w:rPr>
        <w:t>mL</w:t>
      </w:r>
      <w:proofErr w:type="spellEnd"/>
      <w:r>
        <w:rPr>
          <w:rFonts w:ascii="Verdana" w:eastAsia="Verdana" w:hAnsi="Verdana" w:cs="Verdana"/>
          <w:sz w:val="20"/>
          <w:szCs w:val="20"/>
        </w:rPr>
        <w:t xml:space="preserve"> (1.4 porciones)</w:t>
      </w:r>
    </w:p>
    <w:p w14:paraId="00000003" w14:textId="30D38072" w:rsidR="00893EDA" w:rsidRDefault="005517DC">
      <w:pPr>
        <w:spacing w:after="0" w:line="240" w:lineRule="auto"/>
        <w:ind w:left="0" w:right="62" w:hanging="2"/>
        <w:jc w:val="center"/>
        <w:rPr>
          <w:rFonts w:ascii="Verdana" w:eastAsia="Verdana" w:hAnsi="Verdana" w:cs="Verdana"/>
          <w:sz w:val="20"/>
          <w:szCs w:val="20"/>
        </w:rPr>
      </w:pPr>
      <w:r>
        <w:rPr>
          <w:rFonts w:ascii="Verdana" w:eastAsia="Verdana" w:hAnsi="Verdana" w:cs="Verdana"/>
          <w:sz w:val="20"/>
          <w:szCs w:val="20"/>
        </w:rPr>
        <w:t xml:space="preserve">Kilocalorías (Kcal): </w:t>
      </w:r>
      <w:r w:rsidR="00442CB3">
        <w:rPr>
          <w:rFonts w:ascii="Verdana" w:eastAsia="Verdana" w:hAnsi="Verdana" w:cs="Verdana"/>
          <w:sz w:val="20"/>
          <w:szCs w:val="20"/>
        </w:rPr>
        <w:t>100</w:t>
      </w:r>
      <w:r>
        <w:rPr>
          <w:rFonts w:ascii="Verdana" w:eastAsia="Verdana" w:hAnsi="Verdana" w:cs="Verdana"/>
          <w:sz w:val="20"/>
          <w:szCs w:val="20"/>
        </w:rPr>
        <w:t xml:space="preserve"> por porción (</w:t>
      </w:r>
      <w:r w:rsidR="00442CB3">
        <w:rPr>
          <w:rFonts w:ascii="Verdana" w:eastAsia="Verdana" w:hAnsi="Verdana" w:cs="Verdana"/>
          <w:sz w:val="20"/>
          <w:szCs w:val="20"/>
        </w:rPr>
        <w:t>138</w:t>
      </w:r>
      <w:r>
        <w:rPr>
          <w:rFonts w:ascii="Verdana" w:eastAsia="Verdana" w:hAnsi="Verdana" w:cs="Verdana"/>
          <w:sz w:val="20"/>
          <w:szCs w:val="20"/>
        </w:rPr>
        <w:t xml:space="preserve"> kcal en el envase)</w:t>
      </w:r>
    </w:p>
    <w:p w14:paraId="00000004" w14:textId="77777777" w:rsidR="00893EDA" w:rsidRDefault="005517DC">
      <w:pPr>
        <w:spacing w:after="0" w:line="240" w:lineRule="auto"/>
        <w:ind w:left="0" w:right="62" w:hanging="2"/>
        <w:jc w:val="center"/>
        <w:rPr>
          <w:rFonts w:ascii="Verdana" w:eastAsia="Verdana" w:hAnsi="Verdana" w:cs="Verdana"/>
          <w:sz w:val="20"/>
          <w:szCs w:val="20"/>
        </w:rPr>
      </w:pPr>
      <w:r>
        <w:rPr>
          <w:rFonts w:ascii="Verdana" w:eastAsia="Verdana" w:hAnsi="Verdana" w:cs="Verdana"/>
          <w:sz w:val="20"/>
          <w:szCs w:val="20"/>
        </w:rPr>
        <w:t>Número de porciones por envase: Aproximadamente una porción (1.4 porciones)</w:t>
      </w:r>
    </w:p>
    <w:p w14:paraId="00000005" w14:textId="77777777" w:rsidR="00893EDA" w:rsidRDefault="00893EDA">
      <w:pPr>
        <w:spacing w:line="240" w:lineRule="auto"/>
        <w:ind w:left="0" w:hanging="2"/>
        <w:jc w:val="both"/>
        <w:rPr>
          <w:rFonts w:ascii="Verdana" w:eastAsia="Verdana" w:hAnsi="Verdana" w:cs="Verdana"/>
          <w:sz w:val="20"/>
          <w:szCs w:val="20"/>
          <w:highlight w:val="white"/>
        </w:rPr>
      </w:pPr>
    </w:p>
    <w:p w14:paraId="00000006" w14:textId="77777777" w:rsidR="00893EDA" w:rsidRDefault="005517DC">
      <w:pPr>
        <w:spacing w:after="0"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rPr>
        <w:t>I</w:t>
      </w:r>
      <w:r>
        <w:rPr>
          <w:rFonts w:ascii="Verdana" w:eastAsia="Verdana" w:hAnsi="Verdana" w:cs="Verdana"/>
          <w:b/>
          <w:sz w:val="20"/>
          <w:szCs w:val="20"/>
          <w:highlight w:val="white"/>
        </w:rPr>
        <w:t>deas Tweet:</w:t>
      </w:r>
      <w:r>
        <w:rPr>
          <w:rFonts w:ascii="Verdana" w:eastAsia="Verdana" w:hAnsi="Verdana" w:cs="Verdana"/>
          <w:sz w:val="20"/>
          <w:szCs w:val="20"/>
          <w:highlight w:val="white"/>
        </w:rPr>
        <w:t xml:space="preserve"> </w:t>
      </w:r>
    </w:p>
    <w:p w14:paraId="00000007" w14:textId="77777777" w:rsidR="00893EDA" w:rsidRDefault="00893EDA">
      <w:pPr>
        <w:spacing w:after="0" w:line="240" w:lineRule="auto"/>
        <w:ind w:left="0" w:hanging="2"/>
        <w:jc w:val="both"/>
        <w:rPr>
          <w:rFonts w:ascii="Verdana" w:eastAsia="Verdana" w:hAnsi="Verdana" w:cs="Verdana"/>
          <w:sz w:val="20"/>
          <w:szCs w:val="20"/>
          <w:highlight w:val="white"/>
        </w:rPr>
      </w:pPr>
    </w:p>
    <w:p w14:paraId="00000008" w14:textId="62092A2C" w:rsidR="00893EDA" w:rsidRDefault="00864F3F">
      <w:pPr>
        <w:numPr>
          <w:ilvl w:val="0"/>
          <w:numId w:val="3"/>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 xml:space="preserve">No se deje confundir, esta </w:t>
      </w:r>
      <w:r w:rsidR="002F10EB">
        <w:rPr>
          <w:rFonts w:ascii="Verdana" w:eastAsia="Verdana" w:hAnsi="Verdana" w:cs="Verdana"/>
          <w:sz w:val="20"/>
          <w:szCs w:val="20"/>
          <w:highlight w:val="white"/>
        </w:rPr>
        <w:t>es</w:t>
      </w:r>
      <w:r>
        <w:rPr>
          <w:rFonts w:ascii="Verdana" w:eastAsia="Verdana" w:hAnsi="Verdana" w:cs="Verdana"/>
          <w:sz w:val="20"/>
          <w:szCs w:val="20"/>
          <w:highlight w:val="white"/>
        </w:rPr>
        <w:t xml:space="preserve"> una bebida chatarra</w:t>
      </w:r>
      <w:r w:rsidR="00C64F36">
        <w:rPr>
          <w:rFonts w:ascii="Verdana" w:eastAsia="Verdana" w:hAnsi="Verdana" w:cs="Verdana"/>
          <w:sz w:val="20"/>
          <w:szCs w:val="20"/>
          <w:highlight w:val="white"/>
        </w:rPr>
        <w:t xml:space="preserve"> cuyo consumo habitual le</w:t>
      </w:r>
      <w:r>
        <w:rPr>
          <w:rFonts w:ascii="Verdana" w:eastAsia="Verdana" w:hAnsi="Verdana" w:cs="Verdana"/>
          <w:sz w:val="20"/>
          <w:szCs w:val="20"/>
          <w:highlight w:val="white"/>
        </w:rPr>
        <w:t xml:space="preserve"> expone a subir de peso, y tener mayor riesgo de diabetes y otras enfermedades crónicas. </w:t>
      </w:r>
    </w:p>
    <w:p w14:paraId="00000009" w14:textId="77777777" w:rsidR="00893EDA" w:rsidRDefault="005517DC">
      <w:pPr>
        <w:numPr>
          <w:ilvl w:val="0"/>
          <w:numId w:val="3"/>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Este producto contiene 4 aditivos químicos. Algunos de ellos podrían afectar su salud.</w:t>
      </w:r>
    </w:p>
    <w:p w14:paraId="0000000A" w14:textId="396C502F" w:rsidR="00893EDA" w:rsidRDefault="005517DC">
      <w:pPr>
        <w:numPr>
          <w:ilvl w:val="0"/>
          <w:numId w:val="3"/>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Recomendación: Evite su consumo </w:t>
      </w:r>
      <w:r>
        <w:rPr>
          <w:rFonts w:ascii="Verdana" w:eastAsia="Verdana" w:hAnsi="Verdana" w:cs="Verdana"/>
          <w:sz w:val="20"/>
          <w:szCs w:val="20"/>
          <w:highlight w:val="white"/>
        </w:rPr>
        <w:t xml:space="preserve">o </w:t>
      </w:r>
      <w:r w:rsidR="002F10EB">
        <w:rPr>
          <w:rFonts w:ascii="Verdana" w:eastAsia="Verdana" w:hAnsi="Verdana" w:cs="Verdana"/>
          <w:sz w:val="20"/>
          <w:szCs w:val="20"/>
          <w:highlight w:val="white"/>
        </w:rPr>
        <w:t>reemplácela</w:t>
      </w:r>
      <w:r>
        <w:rPr>
          <w:rFonts w:ascii="Verdana" w:eastAsia="Verdana" w:hAnsi="Verdana" w:cs="Verdana"/>
          <w:sz w:val="20"/>
          <w:szCs w:val="20"/>
          <w:highlight w:val="white"/>
        </w:rPr>
        <w:t xml:space="preserve"> por agua, jugos sin adición de azúcar, bebidas como infusiones, tés</w:t>
      </w:r>
      <w:r w:rsidR="002F10EB">
        <w:rPr>
          <w:rFonts w:ascii="Verdana" w:eastAsia="Verdana" w:hAnsi="Verdana" w:cs="Verdana"/>
          <w:sz w:val="20"/>
          <w:szCs w:val="20"/>
          <w:highlight w:val="white"/>
        </w:rPr>
        <w:t xml:space="preserve"> o </w:t>
      </w:r>
      <w:r>
        <w:rPr>
          <w:rFonts w:ascii="Verdana" w:eastAsia="Verdana" w:hAnsi="Verdana" w:cs="Verdana"/>
          <w:sz w:val="20"/>
          <w:szCs w:val="20"/>
          <w:highlight w:val="white"/>
        </w:rPr>
        <w:t xml:space="preserve">aromáticas. </w:t>
      </w:r>
    </w:p>
    <w:p w14:paraId="0000000B" w14:textId="77777777" w:rsidR="00893EDA" w:rsidRDefault="00893EDA">
      <w:pPr>
        <w:spacing w:after="0" w:line="240" w:lineRule="auto"/>
        <w:ind w:left="0" w:hanging="2"/>
        <w:jc w:val="both"/>
        <w:rPr>
          <w:rFonts w:ascii="Verdana" w:eastAsia="Verdana" w:hAnsi="Verdana" w:cs="Verdana"/>
          <w:sz w:val="20"/>
          <w:szCs w:val="20"/>
          <w:highlight w:val="white"/>
        </w:rPr>
      </w:pPr>
    </w:p>
    <w:p w14:paraId="0000000C" w14:textId="77777777" w:rsidR="00893EDA" w:rsidRDefault="005517DC">
      <w:pPr>
        <w:spacing w:after="0" w:line="240" w:lineRule="auto"/>
        <w:ind w:left="0" w:hanging="2"/>
        <w:jc w:val="both"/>
        <w:rPr>
          <w:rFonts w:ascii="Verdana" w:eastAsia="Verdana" w:hAnsi="Verdana" w:cs="Verdana"/>
          <w:sz w:val="20"/>
          <w:szCs w:val="20"/>
          <w:highlight w:val="green"/>
        </w:rPr>
      </w:pPr>
      <w:r>
        <w:rPr>
          <w:rFonts w:ascii="Verdana" w:eastAsia="Verdana" w:hAnsi="Verdana" w:cs="Verdana"/>
          <w:b/>
          <w:sz w:val="20"/>
          <w:szCs w:val="20"/>
          <w:highlight w:val="white"/>
        </w:rPr>
        <w:t xml:space="preserve">Según la Organización Panamericana de la Salud, estos son los sellos de advertencia que tendría este producto: EXCESO DE AZÚCARES LIBRES </w:t>
      </w:r>
      <w:r>
        <w:rPr>
          <w:rFonts w:ascii="Verdana" w:eastAsia="Verdana" w:hAnsi="Verdana" w:cs="Verdana"/>
          <w:sz w:val="20"/>
          <w:szCs w:val="20"/>
          <w:highlight w:val="white"/>
        </w:rPr>
        <w:t>(1)</w:t>
      </w:r>
    </w:p>
    <w:p w14:paraId="0000000D" w14:textId="77777777" w:rsidR="00893EDA" w:rsidRDefault="00893EDA">
      <w:pPr>
        <w:spacing w:line="240" w:lineRule="auto"/>
        <w:ind w:left="0" w:hanging="2"/>
        <w:jc w:val="both"/>
        <w:rPr>
          <w:rFonts w:ascii="Verdana" w:eastAsia="Verdana" w:hAnsi="Verdana" w:cs="Verdana"/>
          <w:b/>
          <w:sz w:val="20"/>
          <w:szCs w:val="20"/>
        </w:rPr>
      </w:pPr>
    </w:p>
    <w:p w14:paraId="0000000E" w14:textId="77777777" w:rsidR="00893EDA" w:rsidRDefault="005517DC">
      <w:pPr>
        <w:spacing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Bebidas </w:t>
      </w:r>
      <w:r>
        <w:rPr>
          <w:rFonts w:ascii="Verdana" w:eastAsia="Verdana" w:hAnsi="Verdana" w:cs="Verdana"/>
          <w:b/>
          <w:sz w:val="20"/>
          <w:szCs w:val="20"/>
        </w:rPr>
        <w:t xml:space="preserve">- </w:t>
      </w:r>
      <w:r>
        <w:rPr>
          <w:rFonts w:ascii="Verdana" w:eastAsia="Verdana" w:hAnsi="Verdana" w:cs="Verdana"/>
          <w:sz w:val="20"/>
          <w:szCs w:val="20"/>
        </w:rPr>
        <w:t>Gaseosas</w:t>
      </w:r>
    </w:p>
    <w:p w14:paraId="0000000F" w14:textId="77777777" w:rsidR="00893EDA" w:rsidRDefault="005517DC">
      <w:pPr>
        <w:spacing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Análisis general del producto: </w:t>
      </w:r>
      <w:r>
        <w:rPr>
          <w:rFonts w:ascii="Verdana" w:eastAsia="Verdana" w:hAnsi="Verdana" w:cs="Verdana"/>
          <w:sz w:val="20"/>
          <w:szCs w:val="20"/>
          <w:highlight w:val="white"/>
        </w:rPr>
        <w:t>Este producto contiene 9 ingredientes, 4 de ellos son aditivos. Algunos aditivos usados en producción industrial de alimentos podrían afectar la salud (2)(3). Este producto excede los límites de la cantidad recomendada de consumo de azúcar, según los criterios de la Organización Panamericana de la Salud (0PS) (1). El consumo de productos que contienen exceso de este nutriente, se relaciona con mayor riesgo de sufrir obesidad y enfermedades crónicas como diabetes, hipertensión, enfermedades cardiovasculares, entre otras (4).</w:t>
      </w:r>
    </w:p>
    <w:p w14:paraId="00000010" w14:textId="77777777" w:rsidR="00893EDA" w:rsidRDefault="005517DC">
      <w:pPr>
        <w:pBdr>
          <w:top w:val="nil"/>
          <w:left w:val="nil"/>
          <w:bottom w:val="nil"/>
          <w:right w:val="nil"/>
          <w:between w:val="nil"/>
        </w:pBdr>
        <w:spacing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Ingredientes: (</w:t>
      </w:r>
      <w:r>
        <w:rPr>
          <w:rFonts w:ascii="Verdana" w:eastAsia="Verdana" w:hAnsi="Verdana" w:cs="Verdana"/>
          <w:b/>
          <w:sz w:val="20"/>
          <w:szCs w:val="20"/>
          <w:highlight w:val="white"/>
        </w:rPr>
        <w:t>9</w:t>
      </w:r>
      <w:r>
        <w:rPr>
          <w:rFonts w:ascii="Verdana" w:eastAsia="Verdana" w:hAnsi="Verdana" w:cs="Verdana"/>
          <w:b/>
          <w:color w:val="000000"/>
          <w:sz w:val="20"/>
          <w:szCs w:val="20"/>
          <w:highlight w:val="white"/>
        </w:rPr>
        <w:t xml:space="preserve"> </w:t>
      </w:r>
      <w:r>
        <w:rPr>
          <w:rFonts w:ascii="Verdana" w:eastAsia="Verdana" w:hAnsi="Verdana" w:cs="Verdana"/>
          <w:b/>
          <w:sz w:val="20"/>
          <w:szCs w:val="20"/>
          <w:highlight w:val="white"/>
        </w:rPr>
        <w:t>i</w:t>
      </w:r>
      <w:r>
        <w:rPr>
          <w:rFonts w:ascii="Verdana" w:eastAsia="Verdana" w:hAnsi="Verdana" w:cs="Verdana"/>
          <w:b/>
          <w:color w:val="000000"/>
          <w:sz w:val="20"/>
          <w:szCs w:val="20"/>
          <w:highlight w:val="white"/>
        </w:rPr>
        <w:t>ngredientes)</w:t>
      </w:r>
    </w:p>
    <w:p w14:paraId="00000011" w14:textId="77777777" w:rsidR="00893EDA" w:rsidRDefault="005517DC">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a la información reportada en la etiqueta.</w:t>
      </w:r>
    </w:p>
    <w:p w14:paraId="00000012" w14:textId="77777777" w:rsidR="00893EDA" w:rsidRDefault="00893EDA">
      <w:pPr>
        <w:spacing w:after="0" w:line="240" w:lineRule="auto"/>
        <w:ind w:left="0" w:hanging="2"/>
        <w:jc w:val="both"/>
        <w:rPr>
          <w:rFonts w:ascii="Verdana" w:eastAsia="Verdana" w:hAnsi="Verdana" w:cs="Verdana"/>
          <w:sz w:val="20"/>
          <w:szCs w:val="20"/>
        </w:rPr>
      </w:pPr>
    </w:p>
    <w:p w14:paraId="00000013" w14:textId="77777777" w:rsidR="00893EDA"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Agua</w:t>
      </w:r>
    </w:p>
    <w:p w14:paraId="00000014" w14:textId="77777777" w:rsidR="00893EDA"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A</w:t>
      </w:r>
      <w:r>
        <w:rPr>
          <w:rFonts w:ascii="Verdana" w:eastAsia="Verdana" w:hAnsi="Verdana" w:cs="Verdana"/>
          <w:color w:val="000000"/>
          <w:sz w:val="20"/>
          <w:szCs w:val="20"/>
          <w:highlight w:val="white"/>
        </w:rPr>
        <w:t>zúcar</w:t>
      </w:r>
    </w:p>
    <w:p w14:paraId="00000015" w14:textId="77777777" w:rsidR="00893EDA"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M</w:t>
      </w:r>
      <w:r>
        <w:rPr>
          <w:rFonts w:ascii="Verdana" w:eastAsia="Verdana" w:hAnsi="Verdana" w:cs="Verdana"/>
          <w:color w:val="000000"/>
          <w:sz w:val="20"/>
          <w:szCs w:val="20"/>
          <w:highlight w:val="white"/>
        </w:rPr>
        <w:t xml:space="preserve">alta de </w:t>
      </w:r>
      <w:r w:rsidRPr="004C1FC7">
        <w:rPr>
          <w:rFonts w:ascii="Verdana" w:eastAsia="Verdana" w:hAnsi="Verdana" w:cs="Verdana"/>
          <w:sz w:val="20"/>
          <w:szCs w:val="20"/>
          <w:highlight w:val="white"/>
        </w:rPr>
        <w:t>cebada</w:t>
      </w:r>
    </w:p>
    <w:p w14:paraId="00000016" w14:textId="77777777" w:rsidR="00893EDA" w:rsidRPr="004C1FC7"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sidRPr="004C1FC7">
        <w:rPr>
          <w:rFonts w:ascii="Verdana" w:eastAsia="Verdana" w:hAnsi="Verdana" w:cs="Verdana"/>
          <w:sz w:val="20"/>
          <w:szCs w:val="20"/>
          <w:highlight w:val="white"/>
        </w:rPr>
        <w:t>Gas carbónico</w:t>
      </w:r>
    </w:p>
    <w:p w14:paraId="00000017" w14:textId="77777777" w:rsidR="00893EDA" w:rsidRPr="004C1FC7"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sidRPr="004C1FC7">
        <w:rPr>
          <w:rFonts w:ascii="Verdana" w:eastAsia="Verdana" w:hAnsi="Verdana" w:cs="Verdana"/>
          <w:sz w:val="20"/>
          <w:szCs w:val="20"/>
          <w:highlight w:val="white"/>
        </w:rPr>
        <w:t>Color caramelo (Colorante artificial).</w:t>
      </w:r>
    </w:p>
    <w:p w14:paraId="00000018" w14:textId="77777777" w:rsidR="00893EDA" w:rsidRPr="004C1FC7"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sidRPr="004C1FC7">
        <w:rPr>
          <w:rFonts w:ascii="Verdana" w:eastAsia="Verdana" w:hAnsi="Verdana" w:cs="Verdana"/>
          <w:sz w:val="20"/>
          <w:szCs w:val="20"/>
          <w:highlight w:val="white"/>
        </w:rPr>
        <w:t>Ácido cítrico (Acidulante)</w:t>
      </w:r>
    </w:p>
    <w:p w14:paraId="00000019" w14:textId="77777777" w:rsidR="00893EDA" w:rsidRPr="004C1FC7"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sidRPr="004C1FC7">
        <w:rPr>
          <w:rFonts w:ascii="Verdana" w:eastAsia="Verdana" w:hAnsi="Verdana" w:cs="Verdana"/>
          <w:sz w:val="20"/>
          <w:szCs w:val="20"/>
          <w:highlight w:val="white"/>
        </w:rPr>
        <w:t>Sabor artificial de vainilla</w:t>
      </w:r>
    </w:p>
    <w:p w14:paraId="0000001A" w14:textId="77777777" w:rsidR="00893EDA" w:rsidRDefault="005517DC">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L</w:t>
      </w:r>
      <w:r w:rsidRPr="004C1FC7">
        <w:rPr>
          <w:rFonts w:ascii="Verdana" w:eastAsia="Verdana" w:hAnsi="Verdana" w:cs="Verdana"/>
          <w:sz w:val="20"/>
          <w:szCs w:val="20"/>
          <w:highlight w:val="white"/>
        </w:rPr>
        <w:t>úpulo</w:t>
      </w:r>
    </w:p>
    <w:p w14:paraId="0000001B" w14:textId="77777777" w:rsidR="00893EDA" w:rsidRDefault="005517DC">
      <w:pPr>
        <w:numPr>
          <w:ilvl w:val="0"/>
          <w:numId w:val="5"/>
        </w:numPr>
        <w:pBdr>
          <w:top w:val="nil"/>
          <w:left w:val="nil"/>
          <w:bottom w:val="nil"/>
          <w:right w:val="nil"/>
          <w:between w:val="nil"/>
        </w:pBdr>
        <w:spacing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A</w:t>
      </w:r>
      <w:r>
        <w:rPr>
          <w:rFonts w:ascii="Verdana" w:eastAsia="Verdana" w:hAnsi="Verdana" w:cs="Verdana"/>
          <w:color w:val="000000"/>
          <w:sz w:val="20"/>
          <w:szCs w:val="20"/>
          <w:highlight w:val="white"/>
        </w:rPr>
        <w:t>gregados vitamínicos (</w:t>
      </w:r>
      <w:r>
        <w:rPr>
          <w:rFonts w:ascii="Verdana" w:eastAsia="Verdana" w:hAnsi="Verdana" w:cs="Verdana"/>
          <w:sz w:val="20"/>
          <w:szCs w:val="20"/>
          <w:highlight w:val="white"/>
        </w:rPr>
        <w:t>N</w:t>
      </w:r>
      <w:r>
        <w:rPr>
          <w:rFonts w:ascii="Verdana" w:eastAsia="Verdana" w:hAnsi="Verdana" w:cs="Verdana"/>
          <w:color w:val="000000"/>
          <w:sz w:val="20"/>
          <w:szCs w:val="20"/>
          <w:highlight w:val="white"/>
        </w:rPr>
        <w:t xml:space="preserve">iacina, </w:t>
      </w:r>
      <w:r>
        <w:rPr>
          <w:rFonts w:ascii="Verdana" w:eastAsia="Verdana" w:hAnsi="Verdana" w:cs="Verdana"/>
          <w:sz w:val="20"/>
          <w:szCs w:val="20"/>
          <w:highlight w:val="white"/>
        </w:rPr>
        <w:t>R</w:t>
      </w:r>
      <w:r>
        <w:rPr>
          <w:rFonts w:ascii="Verdana" w:eastAsia="Verdana" w:hAnsi="Verdana" w:cs="Verdana"/>
          <w:color w:val="000000"/>
          <w:sz w:val="20"/>
          <w:szCs w:val="20"/>
          <w:highlight w:val="white"/>
        </w:rPr>
        <w:t xml:space="preserve">iboflavina, </w:t>
      </w:r>
      <w:r>
        <w:rPr>
          <w:rFonts w:ascii="Verdana" w:eastAsia="Verdana" w:hAnsi="Verdana" w:cs="Verdana"/>
          <w:sz w:val="20"/>
          <w:szCs w:val="20"/>
          <w:highlight w:val="white"/>
        </w:rPr>
        <w:t>T</w:t>
      </w:r>
      <w:r>
        <w:rPr>
          <w:rFonts w:ascii="Verdana" w:eastAsia="Verdana" w:hAnsi="Verdana" w:cs="Verdana"/>
          <w:color w:val="000000"/>
          <w:sz w:val="20"/>
          <w:szCs w:val="20"/>
          <w:highlight w:val="white"/>
        </w:rPr>
        <w:t>iamina)</w:t>
      </w:r>
    </w:p>
    <w:p w14:paraId="0000001C" w14:textId="77777777" w:rsidR="00893EDA" w:rsidRDefault="005517DC">
      <w:pPr>
        <w:tabs>
          <w:tab w:val="left" w:pos="-5"/>
        </w:tabs>
        <w:spacing w:after="0" w:line="240" w:lineRule="auto"/>
        <w:ind w:left="0" w:hanging="2"/>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Nutrientes críticos en la Pony Malta 330 </w:t>
      </w:r>
      <w:proofErr w:type="spellStart"/>
      <w:r>
        <w:rPr>
          <w:rFonts w:ascii="Verdana" w:eastAsia="Verdana" w:hAnsi="Verdana" w:cs="Verdana"/>
          <w:b/>
          <w:sz w:val="20"/>
          <w:szCs w:val="20"/>
          <w:highlight w:val="white"/>
        </w:rPr>
        <w:t>mL</w:t>
      </w:r>
      <w:proofErr w:type="spellEnd"/>
      <w:r>
        <w:rPr>
          <w:rFonts w:ascii="Verdana" w:eastAsia="Verdana" w:hAnsi="Verdana" w:cs="Verdana"/>
          <w:b/>
          <w:sz w:val="20"/>
          <w:szCs w:val="20"/>
        </w:rPr>
        <w:t>:</w:t>
      </w:r>
    </w:p>
    <w:p w14:paraId="0000001D" w14:textId="77777777" w:rsidR="00893EDA" w:rsidRDefault="00893EDA">
      <w:pPr>
        <w:spacing w:after="0" w:line="240" w:lineRule="auto"/>
        <w:ind w:left="0" w:hanging="2"/>
        <w:jc w:val="both"/>
        <w:rPr>
          <w:rFonts w:ascii="Verdana" w:eastAsia="Verdana" w:hAnsi="Verdana" w:cs="Verdana"/>
          <w:sz w:val="20"/>
          <w:szCs w:val="20"/>
          <w:u w:val="single"/>
        </w:rPr>
      </w:pPr>
    </w:p>
    <w:p w14:paraId="0000001E" w14:textId="77777777" w:rsidR="00893EDA" w:rsidRDefault="005517DC">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Cada porción de 240 </w:t>
      </w:r>
      <w:proofErr w:type="spellStart"/>
      <w:r>
        <w:rPr>
          <w:rFonts w:ascii="Verdana" w:eastAsia="Verdana" w:hAnsi="Verdana" w:cs="Verdana"/>
          <w:sz w:val="20"/>
          <w:szCs w:val="20"/>
        </w:rPr>
        <w:t>mL</w:t>
      </w:r>
      <w:proofErr w:type="spellEnd"/>
      <w:r>
        <w:rPr>
          <w:rFonts w:ascii="Verdana" w:eastAsia="Verdana" w:hAnsi="Verdana" w:cs="Verdana"/>
          <w:sz w:val="20"/>
          <w:szCs w:val="20"/>
        </w:rPr>
        <w:t xml:space="preserve"> (1 vaso) aportan un total de 100 calorías.</w:t>
      </w:r>
    </w:p>
    <w:p w14:paraId="0000001F" w14:textId="77777777" w:rsidR="00893EDA" w:rsidRDefault="00893EDA">
      <w:pPr>
        <w:spacing w:after="0" w:line="240" w:lineRule="auto"/>
        <w:ind w:left="0" w:hanging="2"/>
        <w:jc w:val="both"/>
        <w:rPr>
          <w:rFonts w:ascii="Verdana" w:eastAsia="Verdana" w:hAnsi="Verdana" w:cs="Verdana"/>
          <w:sz w:val="20"/>
          <w:szCs w:val="20"/>
        </w:rPr>
      </w:pPr>
    </w:p>
    <w:p w14:paraId="00000020" w14:textId="77777777" w:rsidR="00893EDA" w:rsidRDefault="00893EDA">
      <w:pPr>
        <w:spacing w:after="0" w:line="240" w:lineRule="auto"/>
        <w:ind w:left="0" w:hanging="2"/>
        <w:jc w:val="both"/>
        <w:rPr>
          <w:rFonts w:ascii="Verdana" w:eastAsia="Verdana" w:hAnsi="Verdana" w:cs="Verdana"/>
          <w:b/>
          <w:sz w:val="20"/>
          <w:szCs w:val="20"/>
        </w:rPr>
      </w:pPr>
    </w:p>
    <w:p w14:paraId="00000021" w14:textId="77777777" w:rsidR="00893EDA" w:rsidRDefault="00893EDA">
      <w:pPr>
        <w:spacing w:after="0" w:line="240" w:lineRule="auto"/>
        <w:ind w:left="0" w:hanging="2"/>
        <w:jc w:val="both"/>
        <w:rPr>
          <w:rFonts w:ascii="Verdana" w:eastAsia="Verdana" w:hAnsi="Verdana" w:cs="Verdana"/>
          <w:b/>
          <w:sz w:val="20"/>
          <w:szCs w:val="20"/>
        </w:rPr>
      </w:pPr>
    </w:p>
    <w:p w14:paraId="00000022" w14:textId="77777777" w:rsidR="00893EDA" w:rsidRDefault="005517DC">
      <w:pPr>
        <w:numPr>
          <w:ilvl w:val="0"/>
          <w:numId w:val="2"/>
        </w:numPr>
        <w:spacing w:after="0"/>
        <w:ind w:left="0" w:hanging="2"/>
        <w:jc w:val="both"/>
        <w:rPr>
          <w:sz w:val="20"/>
          <w:szCs w:val="20"/>
        </w:rPr>
      </w:pPr>
      <w:r>
        <w:rPr>
          <w:rFonts w:ascii="Verdana" w:eastAsia="Verdana" w:hAnsi="Verdana" w:cs="Verdana"/>
          <w:i/>
          <w:sz w:val="20"/>
          <w:szCs w:val="20"/>
          <w:u w:val="single"/>
        </w:rPr>
        <w:lastRenderedPageBreak/>
        <w:t>Azúcares libres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contiene más de 8 veces la cantidad recomendada de azúcares libres, el 92% de las Calorías totales del producto. Del total de Calorías del producto (100), 92 Calorías provienen de 23 gramos de azúcares. </w:t>
      </w:r>
    </w:p>
    <w:p w14:paraId="00000023" w14:textId="77777777" w:rsidR="00893EDA" w:rsidRDefault="00893EDA">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
    <w:p w14:paraId="00000024" w14:textId="77777777" w:rsidR="00893EDA" w:rsidRDefault="005517DC">
      <w:pPr>
        <w:pBdr>
          <w:top w:val="nil"/>
          <w:left w:val="nil"/>
          <w:bottom w:val="nil"/>
          <w:right w:val="nil"/>
          <w:between w:val="nil"/>
        </w:pBdr>
        <w:spacing w:after="0" w:line="240" w:lineRule="auto"/>
        <w:ind w:left="0" w:hanging="2"/>
        <w:jc w:val="both"/>
        <w:rPr>
          <w:rFonts w:ascii="Verdana" w:eastAsia="Verdana" w:hAnsi="Verdana" w:cs="Verdana"/>
          <w:b/>
          <w:color w:val="000000"/>
          <w:sz w:val="20"/>
          <w:szCs w:val="20"/>
          <w:highlight w:val="white"/>
        </w:rPr>
      </w:pPr>
      <w:bookmarkStart w:id="0" w:name="_heading=h.gjdgxs" w:colFirst="0" w:colLast="0"/>
      <w:bookmarkEnd w:id="0"/>
      <w:r>
        <w:rPr>
          <w:rFonts w:ascii="Verdana" w:eastAsia="Verdana" w:hAnsi="Verdana" w:cs="Verdana"/>
          <w:b/>
          <w:color w:val="000000"/>
          <w:sz w:val="20"/>
          <w:szCs w:val="20"/>
          <w:highlight w:val="white"/>
        </w:rPr>
        <w:t>Aditivos que contiene este producto:</w:t>
      </w:r>
    </w:p>
    <w:p w14:paraId="00000025" w14:textId="77777777" w:rsidR="00893EDA" w:rsidRDefault="00893EDA">
      <w:pPr>
        <w:pBdr>
          <w:top w:val="nil"/>
          <w:left w:val="nil"/>
          <w:bottom w:val="nil"/>
          <w:right w:val="nil"/>
          <w:between w:val="nil"/>
        </w:pBdr>
        <w:spacing w:after="0" w:line="240" w:lineRule="auto"/>
        <w:ind w:left="0" w:hanging="2"/>
        <w:jc w:val="both"/>
        <w:rPr>
          <w:rFonts w:ascii="Verdana" w:eastAsia="Verdana" w:hAnsi="Verdana" w:cs="Verdana"/>
          <w:b/>
          <w:sz w:val="20"/>
          <w:szCs w:val="20"/>
          <w:highlight w:val="white"/>
        </w:rPr>
      </w:pPr>
      <w:bookmarkStart w:id="1" w:name="_heading=h.ro7jngo98z86" w:colFirst="0" w:colLast="0"/>
      <w:bookmarkEnd w:id="1"/>
    </w:p>
    <w:p w14:paraId="00000026" w14:textId="77777777" w:rsidR="00893EDA" w:rsidRDefault="005517DC">
      <w:pPr>
        <w:numPr>
          <w:ilvl w:val="0"/>
          <w:numId w:val="4"/>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 xml:space="preserve">Gas carbónico (E-290): Usado como gasificante, espumante y gas de envasado (5). </w:t>
      </w:r>
    </w:p>
    <w:p w14:paraId="00000027" w14:textId="1A0B28D2" w:rsidR="00893EDA" w:rsidRPr="006162FE" w:rsidRDefault="005517DC" w:rsidP="006162FE">
      <w:pPr>
        <w:numPr>
          <w:ilvl w:val="0"/>
          <w:numId w:val="4"/>
        </w:num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Verdana" w:eastAsia="Verdana" w:hAnsi="Verdana" w:cs="Verdana"/>
          <w:sz w:val="20"/>
          <w:szCs w:val="20"/>
          <w:highlight w:val="white"/>
        </w:rPr>
      </w:pPr>
      <w:r w:rsidRPr="006162FE">
        <w:rPr>
          <w:rFonts w:ascii="Verdana" w:eastAsia="Verdana" w:hAnsi="Verdana" w:cs="Verdana"/>
          <w:color w:val="000000"/>
          <w:sz w:val="20"/>
          <w:szCs w:val="20"/>
          <w:highlight w:val="white"/>
        </w:rPr>
        <w:t xml:space="preserve">Color caramelo (E-150): </w:t>
      </w:r>
      <w:r w:rsidR="00E353AE" w:rsidRPr="006162FE">
        <w:rPr>
          <w:rFonts w:ascii="Verdana" w:eastAsia="Verdana" w:hAnsi="Verdana" w:cs="Verdana"/>
          <w:color w:val="000000"/>
          <w:sz w:val="20"/>
          <w:szCs w:val="20"/>
          <w:highlight w:val="white"/>
        </w:rPr>
        <w:t>colorante natural o sintético con efectos cancerígenos que fue prohibido por la Administración de Medicamentos y Alimentos de Estados Unidos (USFDA) en 2011 (6) y en 2014 la Administración de Medicamentos y Alimentos de Estados Unidos (FDA) solicitó que se disting</w:t>
      </w:r>
      <w:r w:rsidR="00E353AE" w:rsidRPr="006162FE">
        <w:rPr>
          <w:rFonts w:ascii="Verdana" w:eastAsia="Verdana" w:hAnsi="Verdana" w:cs="Verdana"/>
          <w:sz w:val="20"/>
          <w:szCs w:val="20"/>
          <w:highlight w:val="white"/>
        </w:rPr>
        <w:t>a</w:t>
      </w:r>
      <w:r w:rsidR="00E353AE" w:rsidRPr="006162FE">
        <w:rPr>
          <w:rFonts w:ascii="Verdana" w:eastAsia="Verdana" w:hAnsi="Verdana" w:cs="Verdana"/>
          <w:color w:val="000000"/>
          <w:sz w:val="20"/>
          <w:szCs w:val="20"/>
          <w:highlight w:val="white"/>
        </w:rPr>
        <w:t xml:space="preserve"> en el etiquetado nutricional el tipo de caramelo que se emplea en los productos con el fin de estimar la exposición a este aditivo (7). </w:t>
      </w:r>
      <w:r w:rsidR="00E353AE" w:rsidRPr="006162FE">
        <w:rPr>
          <w:rFonts w:ascii="Verdana" w:eastAsia="Verdana" w:hAnsi="Verdana" w:cs="Verdana"/>
          <w:sz w:val="20"/>
          <w:szCs w:val="20"/>
          <w:highlight w:val="white"/>
          <w:u w:val="single"/>
        </w:rPr>
        <w:t>Este aditivo tiene potencial efecto nocivo para la salud.</w:t>
      </w:r>
    </w:p>
    <w:p w14:paraId="00000028" w14:textId="1E106859" w:rsidR="00893EDA" w:rsidRDefault="005517DC">
      <w:pPr>
        <w:numPr>
          <w:ilvl w:val="0"/>
          <w:numId w:val="4"/>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Ácido cítrico (E-330): La seguridad de este aditivo no ha sido estudiada de manera crónica o en grandes cantidades, una publicación de 2018, reporta 4 estudios de casos a partir de los cuales sugiere que dependiendo de la disposición genética luego del consumo de ácido cítrico manufacturado podría causar reacciones inflamatorias que causarían síntomas respiratorios, irritación intestinal, dol</w:t>
      </w:r>
      <w:r w:rsidR="00E353AE">
        <w:rPr>
          <w:rFonts w:ascii="Verdana" w:eastAsia="Verdana" w:hAnsi="Verdana" w:cs="Verdana"/>
          <w:sz w:val="20"/>
          <w:szCs w:val="20"/>
          <w:highlight w:val="white"/>
        </w:rPr>
        <w:t>ores articulares y musculares (8</w:t>
      </w:r>
      <w:r>
        <w:rPr>
          <w:rFonts w:ascii="Verdana" w:eastAsia="Verdana" w:hAnsi="Verdana" w:cs="Verdana"/>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2A" w14:textId="018C6C82" w:rsidR="00893EDA" w:rsidRPr="00E353AE" w:rsidRDefault="005517DC" w:rsidP="00BC26C2">
      <w:pPr>
        <w:numPr>
          <w:ilvl w:val="0"/>
          <w:numId w:val="4"/>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sidRPr="00E353AE">
        <w:rPr>
          <w:rFonts w:ascii="Verdana" w:eastAsia="Verdana" w:hAnsi="Verdana" w:cs="Verdana"/>
          <w:color w:val="000000"/>
          <w:sz w:val="20"/>
          <w:szCs w:val="20"/>
          <w:highlight w:val="white"/>
        </w:rPr>
        <w:t xml:space="preserve">Sabor artificial de vainilla: </w:t>
      </w:r>
      <w:r w:rsidRPr="00E353AE">
        <w:rPr>
          <w:rFonts w:ascii="Verdana" w:eastAsia="Verdana" w:hAnsi="Verdana" w:cs="Verdana"/>
          <w:sz w:val="20"/>
          <w:szCs w:val="20"/>
          <w:highlight w:val="white"/>
        </w:rPr>
        <w:t>Los sabores artificiales corresponden a una amplia gama de aditivos alimentarios con diversos efectos sobre la salud. Sin embargo, por disposiciones legales las empresas pueden obviar la especificación del aditivo utilizado el nombre genérico de sabores artificiales</w:t>
      </w:r>
      <w:r w:rsidR="00E353AE">
        <w:rPr>
          <w:rFonts w:ascii="Verdana" w:eastAsia="Verdana" w:hAnsi="Verdana" w:cs="Verdana"/>
          <w:sz w:val="20"/>
          <w:szCs w:val="20"/>
          <w:highlight w:val="white"/>
        </w:rPr>
        <w:t>.</w:t>
      </w:r>
    </w:p>
    <w:p w14:paraId="0000002B" w14:textId="77777777" w:rsidR="00893EDA" w:rsidRDefault="00893EDA">
      <w:pPr>
        <w:pBdr>
          <w:top w:val="nil"/>
          <w:left w:val="nil"/>
          <w:bottom w:val="nil"/>
          <w:right w:val="nil"/>
          <w:between w:val="nil"/>
        </w:pBdr>
        <w:spacing w:line="240" w:lineRule="auto"/>
        <w:ind w:left="0" w:hanging="2"/>
        <w:jc w:val="both"/>
        <w:rPr>
          <w:rFonts w:ascii="Verdana" w:eastAsia="Verdana" w:hAnsi="Verdana" w:cs="Verdana"/>
          <w:color w:val="000000"/>
          <w:sz w:val="20"/>
          <w:szCs w:val="20"/>
          <w:highlight w:val="white"/>
        </w:rPr>
      </w:pPr>
    </w:p>
    <w:p w14:paraId="0000002C" w14:textId="77777777" w:rsidR="00893EDA" w:rsidRDefault="005517DC">
      <w:pPr>
        <w:spacing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Recomendaciones finales: </w:t>
      </w:r>
      <w:r>
        <w:rPr>
          <w:rFonts w:ascii="Verdana" w:eastAsia="Verdana" w:hAnsi="Verdana" w:cs="Verdana"/>
          <w:sz w:val="20"/>
          <w:szCs w:val="20"/>
          <w:highlight w:val="white"/>
        </w:rPr>
        <w:t>Una buena alternativa para reemplazar este producto es beber agua, infusiones, tés, aromáticas, jugos sin adición de azúcar, entre otros.</w:t>
      </w:r>
    </w:p>
    <w:p w14:paraId="0000002D" w14:textId="77777777" w:rsidR="00893EDA" w:rsidRDefault="00893EDA">
      <w:pPr>
        <w:spacing w:line="240" w:lineRule="auto"/>
        <w:ind w:left="0" w:hanging="2"/>
        <w:jc w:val="both"/>
        <w:rPr>
          <w:rFonts w:ascii="Verdana" w:eastAsia="Verdana" w:hAnsi="Verdana" w:cs="Verdana"/>
          <w:sz w:val="20"/>
          <w:szCs w:val="20"/>
          <w:highlight w:val="white"/>
        </w:rPr>
      </w:pPr>
    </w:p>
    <w:p w14:paraId="0000002E" w14:textId="77777777" w:rsidR="00893EDA" w:rsidRDefault="005517DC">
      <w:pPr>
        <w:spacing w:line="240" w:lineRule="auto"/>
        <w:ind w:left="0" w:hanging="2"/>
        <w:jc w:val="both"/>
        <w:rPr>
          <w:rFonts w:ascii="Verdana" w:eastAsia="Verdana" w:hAnsi="Verdana" w:cs="Verdana"/>
          <w:sz w:val="20"/>
          <w:szCs w:val="20"/>
          <w:highlight w:val="white"/>
        </w:rPr>
      </w:pPr>
      <w:r>
        <w:rPr>
          <w:rFonts w:ascii="Verdana" w:eastAsia="Verdana" w:hAnsi="Verdana" w:cs="Verdana"/>
          <w:i/>
          <w:sz w:val="20"/>
          <w:szCs w:val="20"/>
        </w:rPr>
        <w:t xml:space="preserve">Nota: </w:t>
      </w:r>
      <w:r>
        <w:rPr>
          <w:rFonts w:ascii="Verdana" w:eastAsia="Verdana" w:hAnsi="Verdana" w:cs="Verdana"/>
          <w:sz w:val="20"/>
          <w:szCs w:val="20"/>
        </w:rPr>
        <w:t>Para mayor información consultar el documento “Anexo técnico radiografías”</w:t>
      </w:r>
    </w:p>
    <w:p w14:paraId="0000002F" w14:textId="77777777" w:rsidR="00893EDA" w:rsidRDefault="005517DC">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2"/>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00000030" w14:textId="032B7559" w:rsidR="00893EDA" w:rsidRDefault="005517DC">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Revisó: ND Mercedes Mora Plazas, ND </w:t>
      </w:r>
      <w:proofErr w:type="spellStart"/>
      <w:r>
        <w:rPr>
          <w:rFonts w:ascii="Verdana" w:eastAsia="Verdana" w:hAnsi="Verdana" w:cs="Verdana"/>
          <w:sz w:val="20"/>
          <w:szCs w:val="20"/>
        </w:rPr>
        <w:t>Ruben</w:t>
      </w:r>
      <w:proofErr w:type="spellEnd"/>
      <w:r>
        <w:rPr>
          <w:rFonts w:ascii="Verdana" w:eastAsia="Verdana" w:hAnsi="Verdana" w:cs="Verdana"/>
          <w:sz w:val="20"/>
          <w:szCs w:val="20"/>
        </w:rPr>
        <w:t xml:space="preserve"> Orjuela, MSP Sharon Sánchez</w:t>
      </w:r>
      <w:r w:rsidR="00E353AE">
        <w:rPr>
          <w:rFonts w:ascii="Verdana" w:eastAsia="Verdana" w:hAnsi="Verdana" w:cs="Verdana"/>
          <w:sz w:val="20"/>
          <w:szCs w:val="20"/>
        </w:rPr>
        <w:t>.</w:t>
      </w:r>
    </w:p>
    <w:p w14:paraId="00000031" w14:textId="77777777" w:rsidR="00893EDA" w:rsidRDefault="00893EDA">
      <w:pPr>
        <w:spacing w:after="0" w:line="240" w:lineRule="auto"/>
        <w:ind w:left="0" w:hanging="2"/>
        <w:jc w:val="both"/>
        <w:rPr>
          <w:rFonts w:ascii="Verdana" w:eastAsia="Verdana" w:hAnsi="Verdana" w:cs="Verdana"/>
          <w:sz w:val="20"/>
          <w:szCs w:val="20"/>
        </w:rPr>
      </w:pPr>
    </w:p>
    <w:p w14:paraId="00000032" w14:textId="77777777" w:rsidR="00893EDA" w:rsidRDefault="005517DC">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Bibliografía:</w:t>
      </w:r>
    </w:p>
    <w:p w14:paraId="00000033" w14:textId="77777777" w:rsidR="00893EDA" w:rsidRDefault="00893EDA">
      <w:pPr>
        <w:pBdr>
          <w:top w:val="nil"/>
          <w:left w:val="nil"/>
          <w:bottom w:val="nil"/>
          <w:right w:val="nil"/>
          <w:between w:val="nil"/>
        </w:pBdr>
        <w:spacing w:line="240" w:lineRule="auto"/>
        <w:ind w:left="0" w:hanging="2"/>
        <w:jc w:val="both"/>
        <w:rPr>
          <w:rFonts w:ascii="Verdana" w:eastAsia="Verdana" w:hAnsi="Verdana" w:cs="Verdana"/>
          <w:sz w:val="20"/>
          <w:szCs w:val="20"/>
        </w:rPr>
      </w:pPr>
    </w:p>
    <w:p w14:paraId="00000034" w14:textId="77777777" w:rsidR="00893EDA" w:rsidRDefault="00893EDA">
      <w:pPr>
        <w:spacing w:after="0" w:line="240" w:lineRule="auto"/>
        <w:ind w:left="0" w:hanging="2"/>
        <w:jc w:val="both"/>
        <w:rPr>
          <w:rFonts w:ascii="Verdana" w:eastAsia="Verdana" w:hAnsi="Verdana" w:cs="Verdana"/>
          <w:b/>
          <w:sz w:val="20"/>
          <w:szCs w:val="20"/>
        </w:rPr>
      </w:pPr>
    </w:p>
    <w:p w14:paraId="00000035" w14:textId="77777777" w:rsidR="00893EDA" w:rsidRDefault="005517DC">
      <w:pPr>
        <w:widowControl w:val="0"/>
        <w:numPr>
          <w:ilvl w:val="0"/>
          <w:numId w:val="1"/>
        </w:numPr>
        <w:spacing w:after="20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36" w14:textId="77777777" w:rsidR="00893EDA" w:rsidRDefault="005517DC">
      <w:pPr>
        <w:widowControl w:val="0"/>
        <w:numPr>
          <w:ilvl w:val="0"/>
          <w:numId w:val="1"/>
        </w:numPr>
        <w:spacing w:after="200" w:line="240" w:lineRule="auto"/>
        <w:ind w:left="0" w:hanging="2"/>
        <w:jc w:val="both"/>
        <w:rPr>
          <w:rFonts w:ascii="Verdana" w:eastAsia="Verdana" w:hAnsi="Verdana" w:cs="Verdana"/>
          <w:sz w:val="20"/>
          <w:szCs w:val="20"/>
        </w:rPr>
      </w:pPr>
      <w:proofErr w:type="spellStart"/>
      <w:r w:rsidRPr="004C1FC7">
        <w:rPr>
          <w:rFonts w:ascii="Verdana" w:eastAsia="Verdana" w:hAnsi="Verdana" w:cs="Verdana"/>
          <w:sz w:val="20"/>
          <w:szCs w:val="20"/>
          <w:lang w:val="en-US"/>
        </w:rPr>
        <w:lastRenderedPageBreak/>
        <w:t>Chaib</w:t>
      </w:r>
      <w:proofErr w:type="spellEnd"/>
      <w:r w:rsidRPr="004C1FC7">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37" w14:textId="77777777" w:rsidR="00893EDA" w:rsidRDefault="005517DC">
      <w:pPr>
        <w:widowControl w:val="0"/>
        <w:numPr>
          <w:ilvl w:val="0"/>
          <w:numId w:val="1"/>
        </w:numPr>
        <w:spacing w:after="200" w:line="240" w:lineRule="auto"/>
        <w:ind w:left="0" w:hanging="2"/>
        <w:jc w:val="both"/>
        <w:rPr>
          <w:rFonts w:ascii="Verdana" w:eastAsia="Verdana" w:hAnsi="Verdana" w:cs="Verdana"/>
          <w:sz w:val="20"/>
          <w:szCs w:val="20"/>
        </w:rPr>
      </w:pPr>
      <w:r w:rsidRPr="004C1FC7">
        <w:rPr>
          <w:rFonts w:ascii="Verdana" w:eastAsia="Verdana" w:hAnsi="Verdana" w:cs="Verdana"/>
          <w:sz w:val="20"/>
          <w:szCs w:val="20"/>
          <w:lang w:val="en-US"/>
        </w:rPr>
        <w:t xml:space="preserve">Jansen, T., Claassen, L., van Kamp, I., &amp; Timmermans, D. R. (2020). ‘All chemical substances are </w:t>
      </w:r>
      <w:proofErr w:type="spellStart"/>
      <w:r w:rsidRPr="004C1FC7">
        <w:rPr>
          <w:rFonts w:ascii="Verdana" w:eastAsia="Verdana" w:hAnsi="Verdana" w:cs="Verdana"/>
          <w:sz w:val="20"/>
          <w:szCs w:val="20"/>
          <w:lang w:val="en-US"/>
        </w:rPr>
        <w:t>harmful.’public</w:t>
      </w:r>
      <w:proofErr w:type="spellEnd"/>
      <w:r w:rsidRPr="004C1FC7">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Chemical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38" w14:textId="77777777" w:rsidR="00893EDA" w:rsidRDefault="005517DC">
      <w:pPr>
        <w:numPr>
          <w:ilvl w:val="0"/>
          <w:numId w:val="1"/>
        </w:numPr>
        <w:ind w:left="0" w:hanging="2"/>
        <w:jc w:val="both"/>
        <w:rPr>
          <w:rFonts w:ascii="Verdana" w:eastAsia="Verdana" w:hAnsi="Verdana" w:cs="Verdana"/>
          <w:sz w:val="20"/>
          <w:szCs w:val="20"/>
        </w:rPr>
      </w:pPr>
      <w:r w:rsidRPr="004C1FC7">
        <w:rPr>
          <w:rFonts w:ascii="Verdana" w:eastAsia="Verdana" w:hAnsi="Verdana" w:cs="Verdana"/>
          <w:sz w:val="20"/>
          <w:szCs w:val="20"/>
          <w:lang w:val="en-US"/>
        </w:rPr>
        <w:t xml:space="preserve">Elizabeth, L., Machado, P., </w:t>
      </w:r>
      <w:proofErr w:type="spellStart"/>
      <w:r w:rsidRPr="004C1FC7">
        <w:rPr>
          <w:rFonts w:ascii="Verdana" w:eastAsia="Verdana" w:hAnsi="Verdana" w:cs="Verdana"/>
          <w:sz w:val="20"/>
          <w:szCs w:val="20"/>
          <w:lang w:val="en-US"/>
        </w:rPr>
        <w:t>Zinöcker</w:t>
      </w:r>
      <w:proofErr w:type="spellEnd"/>
      <w:r w:rsidRPr="004C1FC7">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26258EEF" w14:textId="77777777" w:rsidR="00E353AE" w:rsidRPr="00E353AE" w:rsidRDefault="005517DC" w:rsidP="00637F42">
      <w:pPr>
        <w:widowControl w:val="0"/>
        <w:numPr>
          <w:ilvl w:val="0"/>
          <w:numId w:val="1"/>
        </w:numPr>
        <w:suppressAutoHyphens w:val="0"/>
        <w:spacing w:after="0" w:line="240" w:lineRule="auto"/>
        <w:ind w:leftChars="0" w:left="0" w:firstLineChars="0" w:firstLine="0"/>
        <w:jc w:val="both"/>
        <w:textDirection w:val="lrTb"/>
        <w:textAlignment w:val="auto"/>
        <w:outlineLvl w:val="9"/>
        <w:rPr>
          <w:rFonts w:ascii="Verdana" w:eastAsia="Verdana" w:hAnsi="Verdana" w:cs="Verdana"/>
          <w:sz w:val="20"/>
          <w:szCs w:val="20"/>
        </w:rPr>
      </w:pPr>
      <w:r>
        <w:t xml:space="preserve">ALIMENTARIOS, S. A. (1996). Programa conjunto FAO/OMS sobre normas alimentarias Comisión del Codex </w:t>
      </w:r>
      <w:proofErr w:type="spellStart"/>
      <w:r>
        <w:t>Alimentarius</w:t>
      </w:r>
      <w:proofErr w:type="spellEnd"/>
      <w:r>
        <w:t xml:space="preserve">. </w:t>
      </w:r>
      <w:hyperlink r:id="rId9">
        <w:r w:rsidRPr="00E353AE">
          <w:rPr>
            <w:color w:val="1155CC"/>
            <w:u w:val="single"/>
          </w:rPr>
          <w: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w:t>
        </w:r>
      </w:hyperlink>
      <w:r>
        <w:t xml:space="preserve"> </w:t>
      </w:r>
      <w:r w:rsidR="00E353AE">
        <w:t xml:space="preserve"> </w:t>
      </w:r>
    </w:p>
    <w:p w14:paraId="04EFAB90" w14:textId="77777777" w:rsidR="00E353AE" w:rsidRPr="00E353AE" w:rsidRDefault="00E353AE" w:rsidP="00236EDC">
      <w:pPr>
        <w:widowControl w:val="0"/>
        <w:numPr>
          <w:ilvl w:val="0"/>
          <w:numId w:val="1"/>
        </w:num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Verdana" w:eastAsia="Verdana" w:hAnsi="Verdana" w:cs="Verdana"/>
          <w:color w:val="000000"/>
          <w:sz w:val="20"/>
          <w:szCs w:val="20"/>
        </w:rPr>
      </w:pPr>
      <w:r w:rsidRPr="002F10EB">
        <w:rPr>
          <w:rFonts w:ascii="Verdana" w:eastAsia="Verdana" w:hAnsi="Verdana" w:cs="Verdana"/>
          <w:sz w:val="20"/>
          <w:szCs w:val="20"/>
          <w:lang w:val="en-US"/>
        </w:rPr>
        <w:t xml:space="preserve">EFSA. Scientific Opinion on the re-evaluation of caramel </w:t>
      </w:r>
      <w:proofErr w:type="spellStart"/>
      <w:r w:rsidRPr="002F10EB">
        <w:rPr>
          <w:rFonts w:ascii="Verdana" w:eastAsia="Verdana" w:hAnsi="Verdana" w:cs="Verdana"/>
          <w:sz w:val="20"/>
          <w:szCs w:val="20"/>
          <w:lang w:val="en-US"/>
        </w:rPr>
        <w:t>colours</w:t>
      </w:r>
      <w:proofErr w:type="spellEnd"/>
      <w:r w:rsidRPr="002F10EB">
        <w:rPr>
          <w:rFonts w:ascii="Verdana" w:eastAsia="Verdana" w:hAnsi="Verdana" w:cs="Verdana"/>
          <w:sz w:val="20"/>
          <w:szCs w:val="20"/>
          <w:lang w:val="en-US"/>
        </w:rPr>
        <w:t xml:space="preserve"> (E 150 </w:t>
      </w:r>
      <w:proofErr w:type="spellStart"/>
      <w:proofErr w:type="gramStart"/>
      <w:r w:rsidRPr="002F10EB">
        <w:rPr>
          <w:rFonts w:ascii="Verdana" w:eastAsia="Verdana" w:hAnsi="Verdana" w:cs="Verdana"/>
          <w:sz w:val="20"/>
          <w:szCs w:val="20"/>
          <w:lang w:val="en-US"/>
        </w:rPr>
        <w:t>a,b</w:t>
      </w:r>
      <w:proofErr w:type="gramEnd"/>
      <w:r w:rsidRPr="002F10EB">
        <w:rPr>
          <w:rFonts w:ascii="Verdana" w:eastAsia="Verdana" w:hAnsi="Verdana" w:cs="Verdana"/>
          <w:sz w:val="20"/>
          <w:szCs w:val="20"/>
          <w:lang w:val="en-US"/>
        </w:rPr>
        <w:t>,c,d</w:t>
      </w:r>
      <w:proofErr w:type="spellEnd"/>
      <w:r w:rsidRPr="002F10EB">
        <w:rPr>
          <w:rFonts w:ascii="Verdana" w:eastAsia="Verdana" w:hAnsi="Verdana" w:cs="Verdana"/>
          <w:sz w:val="20"/>
          <w:szCs w:val="20"/>
          <w:lang w:val="en-US"/>
        </w:rPr>
        <w:t xml:space="preserve">) as food additives. </w:t>
      </w:r>
      <w:r w:rsidRPr="00E353AE">
        <w:rPr>
          <w:rFonts w:ascii="Verdana" w:eastAsia="Verdana" w:hAnsi="Verdana" w:cs="Verdana"/>
          <w:sz w:val="20"/>
          <w:szCs w:val="20"/>
        </w:rPr>
        <w:t xml:space="preserve">EFSA J. 2011;9(3):1–103. </w:t>
      </w:r>
      <w:hyperlink r:id="rId10">
        <w:r w:rsidRPr="00E353AE">
          <w:rPr>
            <w:rFonts w:ascii="Verdana" w:eastAsia="Verdana" w:hAnsi="Verdana" w:cs="Verdana"/>
            <w:color w:val="1155CC"/>
            <w:sz w:val="20"/>
            <w:szCs w:val="20"/>
            <w:u w:val="single"/>
          </w:rPr>
          <w:t>https://doi.org/10.2903/j.efsa.2011.2004</w:t>
        </w:r>
      </w:hyperlink>
      <w:r w:rsidRPr="00E353AE">
        <w:rPr>
          <w:rFonts w:ascii="Verdana" w:eastAsia="Verdana" w:hAnsi="Verdana" w:cs="Verdana"/>
          <w:sz w:val="20"/>
          <w:szCs w:val="20"/>
        </w:rPr>
        <w:t xml:space="preserve"> </w:t>
      </w:r>
    </w:p>
    <w:p w14:paraId="3B5C0DA6" w14:textId="15CD6D88" w:rsidR="00E353AE" w:rsidRPr="00E353AE" w:rsidRDefault="00E353AE" w:rsidP="00236EDC">
      <w:pPr>
        <w:widowControl w:val="0"/>
        <w:numPr>
          <w:ilvl w:val="0"/>
          <w:numId w:val="1"/>
        </w:num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Verdana" w:eastAsia="Verdana" w:hAnsi="Verdana" w:cs="Verdana"/>
          <w:color w:val="000000"/>
          <w:sz w:val="20"/>
          <w:szCs w:val="20"/>
        </w:rPr>
      </w:pPr>
      <w:proofErr w:type="spellStart"/>
      <w:r w:rsidRPr="004C1FC7">
        <w:rPr>
          <w:rFonts w:ascii="Verdana" w:eastAsia="Verdana" w:hAnsi="Verdana" w:cs="Verdana"/>
          <w:sz w:val="20"/>
          <w:szCs w:val="20"/>
          <w:lang w:val="en-US"/>
        </w:rPr>
        <w:t>Folmer</w:t>
      </w:r>
      <w:proofErr w:type="spellEnd"/>
      <w:r w:rsidRPr="004C1FC7">
        <w:rPr>
          <w:rFonts w:ascii="Verdana" w:eastAsia="Verdana" w:hAnsi="Verdana" w:cs="Verdana"/>
          <w:sz w:val="20"/>
          <w:szCs w:val="20"/>
          <w:lang w:val="en-US"/>
        </w:rPr>
        <w:t xml:space="preserve"> DE, </w:t>
      </w:r>
      <w:proofErr w:type="spellStart"/>
      <w:r w:rsidRPr="004C1FC7">
        <w:rPr>
          <w:rFonts w:ascii="Verdana" w:eastAsia="Verdana" w:hAnsi="Verdana" w:cs="Verdana"/>
          <w:sz w:val="20"/>
          <w:szCs w:val="20"/>
          <w:lang w:val="en-US"/>
        </w:rPr>
        <w:t>Doell</w:t>
      </w:r>
      <w:proofErr w:type="spellEnd"/>
      <w:r w:rsidRPr="004C1FC7">
        <w:rPr>
          <w:rFonts w:ascii="Verdana" w:eastAsia="Verdana" w:hAnsi="Verdana" w:cs="Verdana"/>
          <w:sz w:val="20"/>
          <w:szCs w:val="20"/>
          <w:lang w:val="en-US"/>
        </w:rPr>
        <w:t xml:space="preserve"> DL, Lee HS, Noonan GO, Carberry SE. A U.S. population dietary exposure assessment for 4-methylimidazole (4-MEI) from foods containing caramel </w:t>
      </w:r>
      <w:proofErr w:type="spellStart"/>
      <w:r w:rsidRPr="004C1FC7">
        <w:rPr>
          <w:rFonts w:ascii="Verdana" w:eastAsia="Verdana" w:hAnsi="Verdana" w:cs="Verdana"/>
          <w:sz w:val="20"/>
          <w:szCs w:val="20"/>
          <w:lang w:val="en-US"/>
        </w:rPr>
        <w:t>colour</w:t>
      </w:r>
      <w:proofErr w:type="spellEnd"/>
      <w:r w:rsidRPr="004C1FC7">
        <w:rPr>
          <w:rFonts w:ascii="Verdana" w:eastAsia="Verdana" w:hAnsi="Verdana" w:cs="Verdana"/>
          <w:sz w:val="20"/>
          <w:szCs w:val="20"/>
          <w:lang w:val="en-US"/>
        </w:rPr>
        <w:t xml:space="preserve"> and from formation of 4-MEI through the thermal treatment of food. Food </w:t>
      </w:r>
      <w:proofErr w:type="spellStart"/>
      <w:r w:rsidRPr="004C1FC7">
        <w:rPr>
          <w:rFonts w:ascii="Verdana" w:eastAsia="Verdana" w:hAnsi="Verdana" w:cs="Verdana"/>
          <w:sz w:val="20"/>
          <w:szCs w:val="20"/>
          <w:lang w:val="en-US"/>
        </w:rPr>
        <w:t>Addit</w:t>
      </w:r>
      <w:proofErr w:type="spellEnd"/>
      <w:r w:rsidRPr="004C1FC7">
        <w:rPr>
          <w:rFonts w:ascii="Verdana" w:eastAsia="Verdana" w:hAnsi="Verdana" w:cs="Verdana"/>
          <w:sz w:val="20"/>
          <w:szCs w:val="20"/>
          <w:lang w:val="en-US"/>
        </w:rPr>
        <w:t xml:space="preserve"> </w:t>
      </w:r>
      <w:proofErr w:type="spellStart"/>
      <w:r w:rsidRPr="004C1FC7">
        <w:rPr>
          <w:rFonts w:ascii="Verdana" w:eastAsia="Verdana" w:hAnsi="Verdana" w:cs="Verdana"/>
          <w:sz w:val="20"/>
          <w:szCs w:val="20"/>
          <w:lang w:val="en-US"/>
        </w:rPr>
        <w:t>Contam</w:t>
      </w:r>
      <w:proofErr w:type="spellEnd"/>
      <w:r w:rsidRPr="004C1FC7">
        <w:rPr>
          <w:rFonts w:ascii="Verdana" w:eastAsia="Verdana" w:hAnsi="Verdana" w:cs="Verdana"/>
          <w:sz w:val="20"/>
          <w:szCs w:val="20"/>
          <w:lang w:val="en-US"/>
        </w:rPr>
        <w:t xml:space="preserve"> - Part A Chem Anal Control Expo Risk Assess [Internet]. </w:t>
      </w:r>
      <w:r w:rsidRPr="00E353AE">
        <w:rPr>
          <w:rFonts w:ascii="Verdana" w:eastAsia="Verdana" w:hAnsi="Verdana" w:cs="Verdana"/>
          <w:sz w:val="20"/>
          <w:szCs w:val="20"/>
        </w:rPr>
        <w:t xml:space="preserve">2018;35(10):1890–910. </w:t>
      </w:r>
      <w:proofErr w:type="spellStart"/>
      <w:r w:rsidRPr="00E353AE">
        <w:rPr>
          <w:rFonts w:ascii="Verdana" w:eastAsia="Verdana" w:hAnsi="Verdana" w:cs="Verdana"/>
          <w:sz w:val="20"/>
          <w:szCs w:val="20"/>
        </w:rPr>
        <w:t>Available</w:t>
      </w:r>
      <w:proofErr w:type="spellEnd"/>
      <w:r w:rsidRPr="00E353AE">
        <w:rPr>
          <w:rFonts w:ascii="Verdana" w:eastAsia="Verdana" w:hAnsi="Verdana" w:cs="Verdana"/>
          <w:sz w:val="20"/>
          <w:szCs w:val="20"/>
        </w:rPr>
        <w:t xml:space="preserve"> </w:t>
      </w:r>
      <w:proofErr w:type="spellStart"/>
      <w:r w:rsidRPr="00E353AE">
        <w:rPr>
          <w:rFonts w:ascii="Verdana" w:eastAsia="Verdana" w:hAnsi="Verdana" w:cs="Verdana"/>
          <w:sz w:val="20"/>
          <w:szCs w:val="20"/>
        </w:rPr>
        <w:t>from</w:t>
      </w:r>
      <w:proofErr w:type="spellEnd"/>
      <w:r w:rsidRPr="00E353AE">
        <w:rPr>
          <w:rFonts w:ascii="Verdana" w:eastAsia="Verdana" w:hAnsi="Verdana" w:cs="Verdana"/>
          <w:sz w:val="20"/>
          <w:szCs w:val="20"/>
        </w:rPr>
        <w:t xml:space="preserve">: </w:t>
      </w:r>
      <w:hyperlink r:id="rId11">
        <w:r w:rsidRPr="00E353AE">
          <w:rPr>
            <w:rFonts w:ascii="Verdana" w:eastAsia="Verdana" w:hAnsi="Verdana" w:cs="Verdana"/>
            <w:color w:val="1155CC"/>
            <w:sz w:val="20"/>
            <w:szCs w:val="20"/>
            <w:u w:val="single"/>
          </w:rPr>
          <w:t>https://doi.org/10.1080/19440049.2018.1508892</w:t>
        </w:r>
      </w:hyperlink>
      <w:r w:rsidRPr="00E353AE">
        <w:rPr>
          <w:rFonts w:ascii="Verdana" w:eastAsia="Verdana" w:hAnsi="Verdana" w:cs="Verdana"/>
          <w:sz w:val="20"/>
          <w:szCs w:val="20"/>
        </w:rPr>
        <w:t xml:space="preserve"> </w:t>
      </w:r>
    </w:p>
    <w:p w14:paraId="0000003B" w14:textId="77777777" w:rsidR="00893EDA" w:rsidRPr="004C1FC7" w:rsidRDefault="005517DC">
      <w:pPr>
        <w:numPr>
          <w:ilvl w:val="0"/>
          <w:numId w:val="1"/>
        </w:numPr>
        <w:ind w:left="0" w:hanging="2"/>
        <w:jc w:val="both"/>
        <w:rPr>
          <w:rFonts w:ascii="Verdana" w:eastAsia="Verdana" w:hAnsi="Verdana" w:cs="Verdana"/>
          <w:sz w:val="20"/>
          <w:szCs w:val="20"/>
          <w:lang w:val="en-US"/>
        </w:rPr>
      </w:pPr>
      <w:proofErr w:type="spellStart"/>
      <w:r w:rsidRPr="002F10EB">
        <w:rPr>
          <w:rFonts w:ascii="Verdana" w:eastAsia="Verdana" w:hAnsi="Verdana" w:cs="Verdana"/>
          <w:sz w:val="20"/>
          <w:szCs w:val="20"/>
          <w:lang w:val="en-US"/>
        </w:rPr>
        <w:t>Sweis</w:t>
      </w:r>
      <w:proofErr w:type="spellEnd"/>
      <w:r w:rsidRPr="002F10EB">
        <w:rPr>
          <w:rFonts w:ascii="Verdana" w:eastAsia="Verdana" w:hAnsi="Verdana" w:cs="Verdana"/>
          <w:sz w:val="20"/>
          <w:szCs w:val="20"/>
          <w:lang w:val="en-US"/>
        </w:rPr>
        <w:t xml:space="preserve"> IE, Cressey BC. Potential role of the common food additive manufactured citric acid in eliciting </w:t>
      </w:r>
      <w:proofErr w:type="spellStart"/>
      <w:r w:rsidRPr="002F10EB">
        <w:rPr>
          <w:rFonts w:ascii="Verdana" w:eastAsia="Verdana" w:hAnsi="Verdana" w:cs="Verdana"/>
          <w:sz w:val="20"/>
          <w:szCs w:val="20"/>
          <w:lang w:val="en-US"/>
        </w:rPr>
        <w:t>signi</w:t>
      </w:r>
      <w:proofErr w:type="spellEnd"/>
      <w:r w:rsidRPr="002F10EB">
        <w:rPr>
          <w:rFonts w:ascii="Verdana" w:eastAsia="Verdana" w:hAnsi="Verdana" w:cs="Verdana"/>
          <w:sz w:val="20"/>
          <w:szCs w:val="20"/>
          <w:lang w:val="en-US"/>
        </w:rPr>
        <w:t xml:space="preserve"> fi cant inflammatory reactions contributing to serious disease </w:t>
      </w:r>
      <w:proofErr w:type="gramStart"/>
      <w:r w:rsidRPr="002F10EB">
        <w:rPr>
          <w:rFonts w:ascii="Verdana" w:eastAsia="Verdana" w:hAnsi="Verdana" w:cs="Verdana"/>
          <w:sz w:val="20"/>
          <w:szCs w:val="20"/>
          <w:lang w:val="en-US"/>
        </w:rPr>
        <w:t>states :</w:t>
      </w:r>
      <w:proofErr w:type="gramEnd"/>
      <w:r w:rsidRPr="002F10EB">
        <w:rPr>
          <w:rFonts w:ascii="Verdana" w:eastAsia="Verdana" w:hAnsi="Verdana" w:cs="Verdana"/>
          <w:sz w:val="20"/>
          <w:szCs w:val="20"/>
          <w:lang w:val="en-US"/>
        </w:rPr>
        <w:t xml:space="preserve"> A series of four case reports. </w:t>
      </w:r>
      <w:proofErr w:type="spellStart"/>
      <w:r w:rsidRPr="004C1FC7">
        <w:rPr>
          <w:rFonts w:ascii="Verdana" w:eastAsia="Verdana" w:hAnsi="Verdana" w:cs="Verdana"/>
          <w:sz w:val="20"/>
          <w:szCs w:val="20"/>
          <w:lang w:val="en-US"/>
        </w:rPr>
        <w:t>Toxicol</w:t>
      </w:r>
      <w:proofErr w:type="spellEnd"/>
      <w:r w:rsidRPr="004C1FC7">
        <w:rPr>
          <w:rFonts w:ascii="Verdana" w:eastAsia="Verdana" w:hAnsi="Verdana" w:cs="Verdana"/>
          <w:sz w:val="20"/>
          <w:szCs w:val="20"/>
          <w:lang w:val="en-US"/>
        </w:rPr>
        <w:t xml:space="preserve"> Reports [Internet]. 2018;5(August):808–12. Available from: </w:t>
      </w:r>
      <w:hyperlink r:id="rId12">
        <w:r w:rsidRPr="004C1FC7">
          <w:rPr>
            <w:rFonts w:ascii="Verdana" w:eastAsia="Verdana" w:hAnsi="Verdana" w:cs="Verdana"/>
            <w:color w:val="1155CC"/>
            <w:sz w:val="20"/>
            <w:szCs w:val="20"/>
            <w:u w:val="single"/>
            <w:lang w:val="en-US"/>
          </w:rPr>
          <w:t>https://doi.org/10.1016/j.toxrep.2018.08.002</w:t>
        </w:r>
      </w:hyperlink>
    </w:p>
    <w:p w14:paraId="0000003C" w14:textId="77777777" w:rsidR="00893EDA" w:rsidRPr="004C1FC7" w:rsidRDefault="00893EDA">
      <w:pPr>
        <w:widowControl w:val="0"/>
        <w:spacing w:line="240" w:lineRule="auto"/>
        <w:ind w:left="0" w:hanging="2"/>
        <w:rPr>
          <w:rFonts w:ascii="Verdana" w:eastAsia="Verdana" w:hAnsi="Verdana" w:cs="Verdana"/>
          <w:sz w:val="20"/>
          <w:szCs w:val="20"/>
          <w:lang w:val="en-US"/>
        </w:rPr>
      </w:pPr>
    </w:p>
    <w:sectPr w:rsidR="00893EDA" w:rsidRPr="004C1FC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A018" w14:textId="77777777" w:rsidR="00D047A2" w:rsidRDefault="00D047A2">
      <w:pPr>
        <w:spacing w:after="0" w:line="240" w:lineRule="auto"/>
        <w:ind w:left="0" w:hanging="2"/>
      </w:pPr>
      <w:r>
        <w:separator/>
      </w:r>
    </w:p>
  </w:endnote>
  <w:endnote w:type="continuationSeparator" w:id="0">
    <w:p w14:paraId="051647C3" w14:textId="77777777" w:rsidR="00D047A2" w:rsidRDefault="00D047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705F" w14:textId="77777777" w:rsidR="00D047A2" w:rsidRDefault="00D047A2">
      <w:pPr>
        <w:spacing w:after="0" w:line="240" w:lineRule="auto"/>
        <w:ind w:left="0" w:hanging="2"/>
      </w:pPr>
      <w:r>
        <w:separator/>
      </w:r>
    </w:p>
  </w:footnote>
  <w:footnote w:type="continuationSeparator" w:id="0">
    <w:p w14:paraId="2DB6B087" w14:textId="77777777" w:rsidR="00D047A2" w:rsidRDefault="00D047A2">
      <w:pPr>
        <w:spacing w:after="0" w:line="240" w:lineRule="auto"/>
        <w:ind w:left="0" w:hanging="2"/>
      </w:pPr>
      <w:r>
        <w:continuationSeparator/>
      </w:r>
    </w:p>
  </w:footnote>
  <w:footnote w:id="1">
    <w:p w14:paraId="0000003E" w14:textId="77777777" w:rsidR="00893EDA" w:rsidRDefault="005517DC">
      <w:pPr>
        <w:spacing w:after="0" w:line="240" w:lineRule="auto"/>
        <w:ind w:left="0" w:hanging="2"/>
        <w:jc w:val="both"/>
        <w:rPr>
          <w:sz w:val="20"/>
          <w:szCs w:val="20"/>
          <w:shd w:val="clear" w:color="auto" w:fill="B6D7A8"/>
        </w:rPr>
      </w:pPr>
      <w:r>
        <w:rPr>
          <w:vertAlign w:val="superscript"/>
        </w:rPr>
        <w:footnoteRef/>
      </w:r>
      <w:r>
        <w:rPr>
          <w:sz w:val="20"/>
          <w:szCs w:val="20"/>
        </w:rPr>
        <w:t xml:space="preserve"> Cada gramo de azúcar aporta 4 kilocalorías. La cantidad de una cuchara de postre equivale a 4,5 gramos de azúcar. Según el perfil de Nutrientes de la Organización Panamericana de la Salud (OPS) 2016, un producto tiene exceso de azúcares libres, cuando las kilocalorías aportadas provenientes por los azúcares son iguales o superiores al 10 % de las kilocalorías aportadas por la porción establecida por el fabricante en el etiquetado.</w:t>
      </w:r>
    </w:p>
  </w:footnote>
  <w:footnote w:id="2">
    <w:p w14:paraId="0000003D" w14:textId="77777777" w:rsidR="00893EDA" w:rsidRDefault="005517DC">
      <w:pPr>
        <w:spacing w:after="0" w:line="240" w:lineRule="auto"/>
        <w:ind w:left="0" w:hanging="2"/>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4B63"/>
    <w:multiLevelType w:val="multilevel"/>
    <w:tmpl w:val="C400B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1A431A"/>
    <w:multiLevelType w:val="multilevel"/>
    <w:tmpl w:val="10FE3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A488E"/>
    <w:multiLevelType w:val="multilevel"/>
    <w:tmpl w:val="6BE49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6E4D0B"/>
    <w:multiLevelType w:val="multilevel"/>
    <w:tmpl w:val="EB884152"/>
    <w:lvl w:ilvl="0">
      <w:start w:val="3"/>
      <w:numFmt w:val="bullet"/>
      <w:lvlText w:val="-"/>
      <w:lvlJc w:val="left"/>
      <w:pPr>
        <w:ind w:left="1068" w:hanging="360"/>
      </w:pPr>
      <w:rPr>
        <w:rFonts w:ascii="Calibri" w:eastAsia="Calibri" w:hAnsi="Calibri" w:cs="Calibri"/>
        <w:shd w:val="clear" w:color="auto" w:fill="auto"/>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4DC158B"/>
    <w:multiLevelType w:val="multilevel"/>
    <w:tmpl w:val="4C864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F01098"/>
    <w:multiLevelType w:val="multilevel"/>
    <w:tmpl w:val="88861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774E0B"/>
    <w:multiLevelType w:val="multilevel"/>
    <w:tmpl w:val="A4501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DA"/>
    <w:rsid w:val="002F10EB"/>
    <w:rsid w:val="00442CB3"/>
    <w:rsid w:val="004C1FC7"/>
    <w:rsid w:val="005517DC"/>
    <w:rsid w:val="006162FE"/>
    <w:rsid w:val="00864F3F"/>
    <w:rsid w:val="00893EDA"/>
    <w:rsid w:val="00C64F36"/>
    <w:rsid w:val="00D047A2"/>
    <w:rsid w:val="00E35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35E6"/>
  <w15:docId w15:val="{DE188DE3-237C-4B93-9A9B-EF5BA4DE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toxrep.2018.08.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9440049.2018.1508892" TargetMode="External"/><Relationship Id="rId5" Type="http://schemas.openxmlformats.org/officeDocument/2006/relationships/webSettings" Target="webSettings.xml"/><Relationship Id="rId10" Type="http://schemas.openxmlformats.org/officeDocument/2006/relationships/hyperlink" Target="https://doi.org/10.2903/j.efsa.2011.2004" TargetMode="External"/><Relationship Id="rId4" Type="http://schemas.openxmlformats.org/officeDocument/2006/relationships/settings" Target="settings.xml"/><Relationship Id="rId9" Type="http://schemas.openxmlformats.org/officeDocument/2006/relationships/hyperlink" Target="https://www.fao.org/fao-who-codexalimentarius/sh-proxy/en/?lnk=1&amp;url=https%253A%252F%252Fworkspace.fao.org%252Fsites%252Fcodex%252FStandards%252FCXS%2B192-1995%252FCXS_192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Ozdb2Axu9n6eH80e/RWWJBc+w==">AMUW2mVJCJ+SzmAC0s4bj+gaCF2J2CTTFfU2BF5Szpj09uZVcL6rzlkgTlpVPOb/kpYTNqtAimDz1txwG2+4tCXVrdfXkQ8RSVK5vwPkyO3m3mPKWPpTNIWRSFY0rCnETGsjNZJjYjrFRjNf+Hoav3t6UK2Y2TVRSjjB0ObzbCto3QAfofXG600rcfgSfbNN8Ok8BvysBHHjGKgtziX/bCUiJEtwxwmwlNGwjsO2WVko4MCjG6E+2Ya5k9w0+f8ln+fv9bC6gHkeI65hn+YQO2YCFWA4/XvHFPIG1qC/ZxyFXapjU3eRzLwVeOTTs3KlBMJ4HjeiYY+CwKFW5hxxwhivSUTzgCOF1wnMRH17UVo6boXwfMgoCkqK7fe66p/ibRFgw1dLcMyzF8lJ63rUdLlxyq/dEcUQL5vUnvJtBuiHd1518vWeTxhJbt0kSTBPhLHevtaTnLGZQp2fytFf0jpAlFoQCJG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Sharon Carolina Sanchez Franco</cp:lastModifiedBy>
  <cp:revision>2</cp:revision>
  <dcterms:created xsi:type="dcterms:W3CDTF">2022-01-25T20:05:00Z</dcterms:created>
  <dcterms:modified xsi:type="dcterms:W3CDTF">2022-01-25T20:05:00Z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a5ce91f3-ea16-3e76-9a95-fb9303b6318e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