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D5378" w:rsidRPr="008F75C7" w:rsidRDefault="00867F33" w:rsidP="008F75C7">
      <w:pPr>
        <w:ind w:left="0" w:hanging="2"/>
        <w:jc w:val="center"/>
        <w:rPr>
          <w:rFonts w:ascii="Verdana" w:hAnsi="Verdana"/>
          <w:b/>
          <w:sz w:val="20"/>
          <w:szCs w:val="20"/>
        </w:rPr>
      </w:pPr>
      <w:bookmarkStart w:id="0" w:name="_heading=h.gjdgxs" w:colFirst="0" w:colLast="0"/>
      <w:bookmarkEnd w:id="0"/>
      <w:r w:rsidRPr="008F75C7">
        <w:rPr>
          <w:rFonts w:ascii="Verdana" w:hAnsi="Verdana"/>
          <w:b/>
          <w:sz w:val="20"/>
          <w:szCs w:val="20"/>
        </w:rPr>
        <w:t xml:space="preserve">Radiografía </w:t>
      </w:r>
      <w:proofErr w:type="spellStart"/>
      <w:r w:rsidRPr="008F75C7">
        <w:rPr>
          <w:rFonts w:ascii="Verdana" w:hAnsi="Verdana"/>
          <w:b/>
          <w:sz w:val="20"/>
          <w:szCs w:val="20"/>
        </w:rPr>
        <w:t>Yox</w:t>
      </w:r>
      <w:proofErr w:type="spellEnd"/>
      <w:r w:rsidRPr="008F75C7">
        <w:rPr>
          <w:rFonts w:ascii="Verdana" w:hAnsi="Verdana"/>
          <w:b/>
          <w:sz w:val="20"/>
          <w:szCs w:val="20"/>
        </w:rPr>
        <w:t xml:space="preserve"> melocotón 100 g</w:t>
      </w:r>
    </w:p>
    <w:p w14:paraId="00000002" w14:textId="77777777" w:rsidR="004D5378" w:rsidRPr="008F75C7" w:rsidRDefault="00867F33" w:rsidP="008F75C7">
      <w:pPr>
        <w:ind w:leftChars="0" w:left="-2" w:firstLineChars="0" w:firstLine="0"/>
        <w:jc w:val="center"/>
        <w:rPr>
          <w:rFonts w:ascii="Verdana" w:hAnsi="Verdana"/>
          <w:sz w:val="20"/>
          <w:szCs w:val="20"/>
        </w:rPr>
      </w:pPr>
      <w:r w:rsidRPr="008F75C7">
        <w:rPr>
          <w:rFonts w:ascii="Verdana" w:hAnsi="Verdana"/>
          <w:sz w:val="20"/>
          <w:szCs w:val="20"/>
        </w:rPr>
        <w:t>Tamaño de la porción: 100 g (1 botella)</w:t>
      </w:r>
    </w:p>
    <w:p w14:paraId="00000003" w14:textId="77777777" w:rsidR="004D5378" w:rsidRPr="008F75C7" w:rsidRDefault="00867F33" w:rsidP="008F75C7">
      <w:pPr>
        <w:ind w:leftChars="0" w:left="-2" w:firstLineChars="0" w:firstLine="0"/>
        <w:jc w:val="center"/>
        <w:rPr>
          <w:rFonts w:ascii="Verdana" w:hAnsi="Verdana"/>
          <w:sz w:val="20"/>
          <w:szCs w:val="20"/>
        </w:rPr>
      </w:pPr>
      <w:r w:rsidRPr="008F75C7">
        <w:rPr>
          <w:rFonts w:ascii="Verdana" w:hAnsi="Verdana"/>
          <w:sz w:val="20"/>
          <w:szCs w:val="20"/>
        </w:rPr>
        <w:t>Kilocalorías (Kcal): 90 por porción</w:t>
      </w:r>
    </w:p>
    <w:p w14:paraId="00000004" w14:textId="77777777" w:rsidR="004D5378" w:rsidRPr="008F75C7" w:rsidRDefault="00867F33" w:rsidP="008F75C7">
      <w:pPr>
        <w:ind w:leftChars="0" w:left="-2" w:firstLineChars="0" w:firstLine="0"/>
        <w:jc w:val="center"/>
        <w:rPr>
          <w:rFonts w:ascii="Verdana" w:hAnsi="Verdana"/>
          <w:sz w:val="20"/>
          <w:szCs w:val="20"/>
        </w:rPr>
      </w:pPr>
      <w:r w:rsidRPr="008F75C7">
        <w:rPr>
          <w:rFonts w:ascii="Verdana" w:hAnsi="Verdana"/>
          <w:sz w:val="20"/>
          <w:szCs w:val="20"/>
        </w:rPr>
        <w:t>Número de porciones por envase: Una porción</w:t>
      </w:r>
    </w:p>
    <w:p w14:paraId="00000005" w14:textId="77777777" w:rsidR="004D5378" w:rsidRPr="008F75C7" w:rsidRDefault="004D5378" w:rsidP="008F75C7">
      <w:pPr>
        <w:ind w:leftChars="0" w:left="-2" w:firstLineChars="0" w:firstLine="0"/>
        <w:jc w:val="center"/>
        <w:rPr>
          <w:rFonts w:ascii="Verdana" w:hAnsi="Verdana"/>
          <w:sz w:val="20"/>
          <w:szCs w:val="20"/>
          <w:highlight w:val="white"/>
        </w:rPr>
      </w:pPr>
    </w:p>
    <w:p w14:paraId="00000006" w14:textId="77777777" w:rsidR="004D5378" w:rsidRDefault="00867F33">
      <w:pPr>
        <w:spacing w:after="0" w:line="240" w:lineRule="auto"/>
        <w:ind w:left="0" w:hanging="2"/>
        <w:jc w:val="both"/>
        <w:rPr>
          <w:rFonts w:ascii="Verdana" w:eastAsia="Verdana" w:hAnsi="Verdana" w:cs="Verdana"/>
          <w:sz w:val="20"/>
          <w:szCs w:val="20"/>
          <w:highlight w:val="white"/>
        </w:rPr>
      </w:pPr>
      <w:r>
        <w:rPr>
          <w:rFonts w:ascii="Verdana" w:eastAsia="Verdana" w:hAnsi="Verdana" w:cs="Verdana"/>
          <w:b/>
          <w:sz w:val="20"/>
          <w:szCs w:val="20"/>
        </w:rPr>
        <w:t>I</w:t>
      </w:r>
      <w:r>
        <w:rPr>
          <w:rFonts w:ascii="Verdana" w:eastAsia="Verdana" w:hAnsi="Verdana" w:cs="Verdana"/>
          <w:b/>
          <w:sz w:val="20"/>
          <w:szCs w:val="20"/>
          <w:highlight w:val="white"/>
        </w:rPr>
        <w:t>deas Tweet:</w:t>
      </w:r>
      <w:r>
        <w:rPr>
          <w:rFonts w:ascii="Verdana" w:eastAsia="Verdana" w:hAnsi="Verdana" w:cs="Verdana"/>
          <w:sz w:val="20"/>
          <w:szCs w:val="20"/>
          <w:highlight w:val="white"/>
        </w:rPr>
        <w:t xml:space="preserve"> </w:t>
      </w:r>
    </w:p>
    <w:p w14:paraId="00000007" w14:textId="77777777" w:rsidR="004D5378" w:rsidRDefault="004D5378">
      <w:pPr>
        <w:spacing w:after="0" w:line="240" w:lineRule="auto"/>
        <w:ind w:left="0" w:hanging="2"/>
        <w:jc w:val="both"/>
        <w:rPr>
          <w:rFonts w:ascii="Verdana" w:eastAsia="Verdana" w:hAnsi="Verdana" w:cs="Verdana"/>
          <w:sz w:val="20"/>
          <w:szCs w:val="20"/>
          <w:highlight w:val="white"/>
        </w:rPr>
      </w:pPr>
    </w:p>
    <w:p w14:paraId="00000008" w14:textId="77777777" w:rsidR="004D5378" w:rsidRDefault="00867F33">
      <w:pPr>
        <w:numPr>
          <w:ilvl w:val="0"/>
          <w:numId w:val="1"/>
        </w:numP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 xml:space="preserve">El consumo habitual y excesivo de este producto incrementa el riesgo de obesidad y de aparición de enfermedades crónicas. </w:t>
      </w:r>
    </w:p>
    <w:p w14:paraId="00000009" w14:textId="77777777" w:rsidR="004D5378" w:rsidRDefault="00867F33">
      <w:pPr>
        <w:numPr>
          <w:ilvl w:val="0"/>
          <w:numId w:val="1"/>
        </w:numP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 xml:space="preserve">Este producto contiene 4 aditivos químicos. Algunos de ellos podrían afectar su salud. </w:t>
      </w:r>
    </w:p>
    <w:p w14:paraId="0000000A" w14:textId="77777777" w:rsidR="004D5378" w:rsidRDefault="00867F33">
      <w:pPr>
        <w:numPr>
          <w:ilvl w:val="0"/>
          <w:numId w:val="1"/>
        </w:numPr>
        <w:spacing w:line="240" w:lineRule="auto"/>
        <w:ind w:left="0" w:hanging="2"/>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Recomendación: Evite su consumo </w:t>
      </w:r>
      <w:r>
        <w:rPr>
          <w:rFonts w:ascii="Verdana" w:eastAsia="Verdana" w:hAnsi="Verdana" w:cs="Verdana"/>
          <w:sz w:val="20"/>
          <w:szCs w:val="20"/>
          <w:highlight w:val="white"/>
        </w:rPr>
        <w:t xml:space="preserve">o reemplácelo con productos lácteos o derivados, sin adición de azúcar y mínimamente procesados. </w:t>
      </w:r>
    </w:p>
    <w:p w14:paraId="0000000B" w14:textId="77777777" w:rsidR="004D5378" w:rsidRDefault="004D5378">
      <w:pPr>
        <w:spacing w:after="0" w:line="240" w:lineRule="auto"/>
        <w:ind w:left="0" w:hanging="2"/>
        <w:jc w:val="both"/>
        <w:rPr>
          <w:rFonts w:ascii="Verdana" w:eastAsia="Verdana" w:hAnsi="Verdana" w:cs="Verdana"/>
          <w:b/>
          <w:sz w:val="20"/>
          <w:szCs w:val="20"/>
          <w:highlight w:val="white"/>
        </w:rPr>
      </w:pPr>
    </w:p>
    <w:p w14:paraId="0000000C" w14:textId="77777777" w:rsidR="004D5378" w:rsidRDefault="00867F33">
      <w:pPr>
        <w:spacing w:after="0" w:line="240" w:lineRule="auto"/>
        <w:ind w:left="0" w:hanging="2"/>
        <w:jc w:val="both"/>
        <w:rPr>
          <w:rFonts w:ascii="Verdana" w:eastAsia="Verdana" w:hAnsi="Verdana" w:cs="Verdana"/>
          <w:sz w:val="20"/>
          <w:szCs w:val="20"/>
          <w:highlight w:val="white"/>
        </w:rPr>
      </w:pPr>
      <w:r>
        <w:rPr>
          <w:rFonts w:ascii="Verdana" w:eastAsia="Verdana" w:hAnsi="Verdana" w:cs="Verdana"/>
          <w:b/>
          <w:sz w:val="20"/>
          <w:szCs w:val="20"/>
          <w:highlight w:val="white"/>
        </w:rPr>
        <w:t xml:space="preserve">Según la Organización Panamericana de la Salud, estos son los sellos de advertencia que tendría este producto: EXCESO DE AZÚCARES LIBRES y EXCESO DE GRASAS SATURADAS </w:t>
      </w:r>
      <w:r>
        <w:rPr>
          <w:rFonts w:ascii="Verdana" w:eastAsia="Verdana" w:hAnsi="Verdana" w:cs="Verdana"/>
          <w:sz w:val="20"/>
          <w:szCs w:val="20"/>
          <w:highlight w:val="white"/>
        </w:rPr>
        <w:t>(1).</w:t>
      </w:r>
    </w:p>
    <w:p w14:paraId="0000000D" w14:textId="77777777" w:rsidR="004D5378" w:rsidRDefault="004D5378">
      <w:pPr>
        <w:spacing w:after="0" w:line="240" w:lineRule="auto"/>
        <w:ind w:left="0" w:hanging="2"/>
        <w:jc w:val="both"/>
        <w:rPr>
          <w:rFonts w:ascii="Verdana" w:eastAsia="Verdana" w:hAnsi="Verdana" w:cs="Verdana"/>
          <w:sz w:val="20"/>
          <w:szCs w:val="20"/>
          <w:highlight w:val="white"/>
        </w:rPr>
      </w:pPr>
    </w:p>
    <w:p w14:paraId="0000000E" w14:textId="77777777" w:rsidR="004D5378" w:rsidRDefault="00867F33">
      <w:pPr>
        <w:spacing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Clasificación: </w:t>
      </w:r>
      <w:r>
        <w:rPr>
          <w:rFonts w:ascii="Verdana" w:eastAsia="Verdana" w:hAnsi="Verdana" w:cs="Verdana"/>
          <w:sz w:val="20"/>
          <w:szCs w:val="20"/>
        </w:rPr>
        <w:t xml:space="preserve">Producto comestible </w:t>
      </w:r>
      <w:proofErr w:type="spellStart"/>
      <w:r>
        <w:rPr>
          <w:rFonts w:ascii="Verdana" w:eastAsia="Verdana" w:hAnsi="Verdana" w:cs="Verdana"/>
          <w:sz w:val="20"/>
          <w:szCs w:val="20"/>
        </w:rPr>
        <w:t>ultraprocesado</w:t>
      </w:r>
      <w:proofErr w:type="spellEnd"/>
      <w:r>
        <w:rPr>
          <w:rFonts w:ascii="Verdana" w:eastAsia="Verdana" w:hAnsi="Verdana" w:cs="Verdana"/>
          <w:sz w:val="20"/>
          <w:szCs w:val="20"/>
        </w:rPr>
        <w:t xml:space="preserve"> - Lácteos industrializados (yogurt, kumis, avena, leche saborizada)</w:t>
      </w:r>
    </w:p>
    <w:p w14:paraId="0000000F" w14:textId="6B6C9C59" w:rsidR="004D5378" w:rsidRDefault="00867F33">
      <w:pPr>
        <w:spacing w:after="0" w:line="240" w:lineRule="auto"/>
        <w:ind w:left="0" w:hanging="2"/>
        <w:jc w:val="both"/>
        <w:rPr>
          <w:rFonts w:ascii="Verdana" w:eastAsia="Verdana" w:hAnsi="Verdana" w:cs="Verdana"/>
          <w:sz w:val="20"/>
          <w:szCs w:val="20"/>
          <w:highlight w:val="white"/>
        </w:rPr>
      </w:pPr>
      <w:r>
        <w:rPr>
          <w:rFonts w:ascii="Verdana" w:eastAsia="Verdana" w:hAnsi="Verdana" w:cs="Verdana"/>
          <w:b/>
          <w:sz w:val="20"/>
          <w:szCs w:val="20"/>
          <w:highlight w:val="white"/>
        </w:rPr>
        <w:t>Análisis general del producto</w:t>
      </w:r>
      <w:r>
        <w:rPr>
          <w:rFonts w:ascii="Verdana" w:eastAsia="Verdana" w:hAnsi="Verdana" w:cs="Verdana"/>
          <w:sz w:val="20"/>
          <w:szCs w:val="20"/>
          <w:highlight w:val="white"/>
        </w:rPr>
        <w:t>: Este producto contiene 13 ingredientes, 4 de ellos aditivos</w:t>
      </w:r>
      <w:r w:rsidR="008F75C7">
        <w:rPr>
          <w:rFonts w:ascii="Verdana" w:eastAsia="Verdana" w:hAnsi="Verdana" w:cs="Verdana"/>
          <w:sz w:val="20"/>
          <w:szCs w:val="20"/>
          <w:highlight w:val="white"/>
        </w:rPr>
        <w:t xml:space="preserve"> y 2 </w:t>
      </w:r>
      <w:r w:rsidR="005F6588">
        <w:rPr>
          <w:rFonts w:ascii="Verdana" w:eastAsia="Verdana" w:hAnsi="Verdana" w:cs="Verdana"/>
          <w:sz w:val="20"/>
          <w:szCs w:val="20"/>
          <w:highlight w:val="white"/>
        </w:rPr>
        <w:t xml:space="preserve">son </w:t>
      </w:r>
      <w:r w:rsidR="008F75C7">
        <w:rPr>
          <w:rFonts w:ascii="Verdana" w:eastAsia="Verdana" w:hAnsi="Verdana" w:cs="Verdana"/>
          <w:sz w:val="20"/>
          <w:szCs w:val="20"/>
          <w:highlight w:val="white"/>
        </w:rPr>
        <w:t>vitaminas y minerales artificiales</w:t>
      </w:r>
      <w:r>
        <w:rPr>
          <w:rFonts w:ascii="Verdana" w:eastAsia="Verdana" w:hAnsi="Verdana" w:cs="Verdana"/>
          <w:sz w:val="20"/>
          <w:szCs w:val="20"/>
          <w:highlight w:val="white"/>
        </w:rPr>
        <w:t>. Algunos aditivos usados en producción industrial de alimentos podrían afectar la salud (2)(3). Según los criterios de la Organización Panamericana de la Salud (OPS) (1) este producto excede la cantidad recomendada de consumo de azúcar y grasa saturada. El consumo de productos que contienen exceso de estos nutrientes, se relaciona con mayor riesgo de sufrir obesidad y enfermedades crónicas como diabetes, hipertensión, enfermedades cardiovasculares, entre otras (4).</w:t>
      </w:r>
    </w:p>
    <w:p w14:paraId="00000010" w14:textId="77777777" w:rsidR="004D5378" w:rsidRDefault="004D5378">
      <w:pPr>
        <w:pBdr>
          <w:top w:val="nil"/>
          <w:left w:val="nil"/>
          <w:bottom w:val="nil"/>
          <w:right w:val="nil"/>
          <w:between w:val="nil"/>
        </w:pBdr>
        <w:spacing w:after="0" w:line="240" w:lineRule="auto"/>
        <w:ind w:left="0" w:hanging="2"/>
        <w:rPr>
          <w:rFonts w:ascii="Verdana" w:eastAsia="Verdana" w:hAnsi="Verdana" w:cs="Verdana"/>
          <w:color w:val="000000"/>
          <w:sz w:val="20"/>
          <w:szCs w:val="20"/>
          <w:highlight w:val="white"/>
        </w:rPr>
      </w:pPr>
    </w:p>
    <w:p w14:paraId="00000011" w14:textId="77777777" w:rsidR="004D5378" w:rsidRDefault="00867F33">
      <w:pPr>
        <w:pBdr>
          <w:top w:val="nil"/>
          <w:left w:val="nil"/>
          <w:bottom w:val="nil"/>
          <w:right w:val="nil"/>
          <w:between w:val="nil"/>
        </w:pBdr>
        <w:spacing w:line="240" w:lineRule="auto"/>
        <w:ind w:left="0" w:hanging="2"/>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Ingredientes: (1</w:t>
      </w:r>
      <w:r>
        <w:rPr>
          <w:rFonts w:ascii="Verdana" w:eastAsia="Verdana" w:hAnsi="Verdana" w:cs="Verdana"/>
          <w:b/>
          <w:sz w:val="20"/>
          <w:szCs w:val="20"/>
          <w:highlight w:val="white"/>
        </w:rPr>
        <w:t>4</w:t>
      </w:r>
      <w:r>
        <w:rPr>
          <w:rFonts w:ascii="Verdana" w:eastAsia="Verdana" w:hAnsi="Verdana" w:cs="Verdana"/>
          <w:b/>
          <w:color w:val="000000"/>
          <w:sz w:val="20"/>
          <w:szCs w:val="20"/>
          <w:highlight w:val="white"/>
        </w:rPr>
        <w:t xml:space="preserve"> ingredientes)</w:t>
      </w:r>
    </w:p>
    <w:p w14:paraId="00000012" w14:textId="77777777" w:rsidR="004D5378" w:rsidRDefault="00867F33">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A continuación, se enumeran los ingredientes del producto, de mayor a menor cantidad, de acuerdo a la información reportada en la etiqueta.</w:t>
      </w:r>
    </w:p>
    <w:p w14:paraId="00000013" w14:textId="77777777" w:rsidR="004D5378" w:rsidRDefault="004D5378">
      <w:pPr>
        <w:pBdr>
          <w:top w:val="nil"/>
          <w:left w:val="nil"/>
          <w:bottom w:val="nil"/>
          <w:right w:val="nil"/>
          <w:between w:val="nil"/>
        </w:pBdr>
        <w:spacing w:line="240" w:lineRule="auto"/>
        <w:ind w:left="0" w:hanging="2"/>
        <w:jc w:val="both"/>
        <w:rPr>
          <w:rFonts w:ascii="Verdana" w:eastAsia="Verdana" w:hAnsi="Verdana" w:cs="Verdana"/>
          <w:sz w:val="20"/>
          <w:szCs w:val="20"/>
          <w:highlight w:val="white"/>
        </w:rPr>
      </w:pPr>
    </w:p>
    <w:p w14:paraId="00000014" w14:textId="77777777" w:rsidR="004D537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 xml:space="preserve">Leche entera higienizada </w:t>
      </w:r>
    </w:p>
    <w:p w14:paraId="00000015" w14:textId="77777777" w:rsidR="004D537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sz w:val="20"/>
          <w:szCs w:val="20"/>
          <w:highlight w:val="white"/>
        </w:rPr>
        <w:t>L</w:t>
      </w:r>
      <w:r>
        <w:rPr>
          <w:rFonts w:ascii="Verdana" w:eastAsia="Verdana" w:hAnsi="Verdana" w:cs="Verdana"/>
          <w:color w:val="000000"/>
          <w:sz w:val="20"/>
          <w:szCs w:val="20"/>
          <w:highlight w:val="white"/>
        </w:rPr>
        <w:t>eche entera reconstituida</w:t>
      </w:r>
    </w:p>
    <w:p w14:paraId="00000016" w14:textId="77777777" w:rsidR="004D537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sz w:val="20"/>
          <w:szCs w:val="20"/>
          <w:highlight w:val="white"/>
        </w:rPr>
        <w:t>Suero reconstituido</w:t>
      </w:r>
    </w:p>
    <w:p w14:paraId="00000017" w14:textId="77777777" w:rsidR="004D537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Azúcar</w:t>
      </w:r>
    </w:p>
    <w:p w14:paraId="00000018" w14:textId="77777777" w:rsidR="004D537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Dulce de melocotón</w:t>
      </w:r>
    </w:p>
    <w:p w14:paraId="00000019" w14:textId="77777777" w:rsidR="004D537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Gelatina</w:t>
      </w:r>
    </w:p>
    <w:p w14:paraId="0000001A" w14:textId="77777777" w:rsidR="004D537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Vitamina C</w:t>
      </w:r>
    </w:p>
    <w:p w14:paraId="0000001B" w14:textId="77777777" w:rsidR="004D5378" w:rsidRPr="005F658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rPr>
      </w:pPr>
      <w:r w:rsidRPr="005F6588">
        <w:rPr>
          <w:rFonts w:ascii="Verdana" w:eastAsia="Verdana" w:hAnsi="Verdana" w:cs="Verdana"/>
          <w:sz w:val="20"/>
          <w:szCs w:val="20"/>
        </w:rPr>
        <w:t>Sulfato de zinc</w:t>
      </w:r>
    </w:p>
    <w:p w14:paraId="0000001C" w14:textId="77777777" w:rsidR="004D5378" w:rsidRPr="005F658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rPr>
      </w:pPr>
      <w:r w:rsidRPr="005F6588">
        <w:rPr>
          <w:rFonts w:ascii="Verdana" w:eastAsia="Verdana" w:hAnsi="Verdana" w:cs="Verdana"/>
          <w:sz w:val="20"/>
          <w:szCs w:val="20"/>
        </w:rPr>
        <w:t>Sorbato de potasio (conservante)</w:t>
      </w:r>
    </w:p>
    <w:p w14:paraId="0000001D" w14:textId="77777777" w:rsidR="004D5378" w:rsidRPr="005F658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rPr>
      </w:pPr>
      <w:r w:rsidRPr="005F6588">
        <w:rPr>
          <w:rFonts w:ascii="Verdana" w:eastAsia="Verdana" w:hAnsi="Verdana" w:cs="Verdana"/>
          <w:sz w:val="20"/>
          <w:szCs w:val="20"/>
        </w:rPr>
        <w:t>Pectina (estabilizante)</w:t>
      </w:r>
    </w:p>
    <w:p w14:paraId="0000001E" w14:textId="77777777" w:rsidR="004D5378" w:rsidRPr="005F658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rPr>
      </w:pPr>
      <w:r w:rsidRPr="005F6588">
        <w:rPr>
          <w:rFonts w:ascii="Verdana" w:eastAsia="Verdana" w:hAnsi="Verdana" w:cs="Verdana"/>
          <w:sz w:val="20"/>
          <w:szCs w:val="20"/>
        </w:rPr>
        <w:t>Sabor idéntico al natural</w:t>
      </w:r>
    </w:p>
    <w:p w14:paraId="0000001F" w14:textId="77777777" w:rsidR="004D5378" w:rsidRPr="005F658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rPr>
      </w:pPr>
      <w:proofErr w:type="spellStart"/>
      <w:r w:rsidRPr="005F6588">
        <w:rPr>
          <w:rFonts w:ascii="Verdana" w:eastAsia="Verdana" w:hAnsi="Verdana" w:cs="Verdana"/>
          <w:sz w:val="20"/>
          <w:szCs w:val="20"/>
        </w:rPr>
        <w:t>Annato</w:t>
      </w:r>
      <w:proofErr w:type="spellEnd"/>
      <w:r w:rsidRPr="005F6588">
        <w:rPr>
          <w:rFonts w:ascii="Verdana" w:eastAsia="Verdana" w:hAnsi="Verdana" w:cs="Verdana"/>
          <w:sz w:val="20"/>
          <w:szCs w:val="20"/>
        </w:rPr>
        <w:t xml:space="preserve"> (colorante natural)</w:t>
      </w:r>
    </w:p>
    <w:p w14:paraId="00000020" w14:textId="77777777" w:rsidR="004D5378" w:rsidRDefault="00867F33">
      <w:pPr>
        <w:numPr>
          <w:ilvl w:val="0"/>
          <w:numId w:val="3"/>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lastRenderedPageBreak/>
        <w:t xml:space="preserve">Cultivos probióticos (lactobacillus </w:t>
      </w:r>
      <w:proofErr w:type="spellStart"/>
      <w:r>
        <w:rPr>
          <w:rFonts w:ascii="Verdana" w:eastAsia="Verdana" w:hAnsi="Verdana" w:cs="Verdana"/>
          <w:sz w:val="20"/>
          <w:szCs w:val="20"/>
          <w:highlight w:val="white"/>
        </w:rPr>
        <w:t>gasseri</w:t>
      </w:r>
      <w:proofErr w:type="spellEnd"/>
      <w:r>
        <w:rPr>
          <w:rFonts w:ascii="Verdana" w:eastAsia="Verdana" w:hAnsi="Verdana" w:cs="Verdana"/>
          <w:sz w:val="20"/>
          <w:szCs w:val="20"/>
          <w:highlight w:val="white"/>
        </w:rPr>
        <w:t xml:space="preserve">, lactobacillus </w:t>
      </w:r>
      <w:proofErr w:type="spellStart"/>
      <w:r>
        <w:rPr>
          <w:rFonts w:ascii="Verdana" w:eastAsia="Verdana" w:hAnsi="Verdana" w:cs="Verdana"/>
          <w:sz w:val="20"/>
          <w:szCs w:val="20"/>
          <w:highlight w:val="white"/>
        </w:rPr>
        <w:t>coryniformis</w:t>
      </w:r>
      <w:proofErr w:type="spellEnd"/>
      <w:r>
        <w:rPr>
          <w:rFonts w:ascii="Verdana" w:eastAsia="Verdana" w:hAnsi="Verdana" w:cs="Verdana"/>
          <w:sz w:val="20"/>
          <w:szCs w:val="20"/>
          <w:highlight w:val="white"/>
        </w:rPr>
        <w:t>)</w:t>
      </w:r>
    </w:p>
    <w:p w14:paraId="00000021" w14:textId="77777777" w:rsidR="004D5378" w:rsidRDefault="00867F33">
      <w:pPr>
        <w:numPr>
          <w:ilvl w:val="0"/>
          <w:numId w:val="3"/>
        </w:numPr>
        <w:pBdr>
          <w:top w:val="nil"/>
          <w:left w:val="nil"/>
          <w:bottom w:val="nil"/>
          <w:right w:val="nil"/>
          <w:between w:val="nil"/>
        </w:pBdr>
        <w:spacing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Cultivo láctico (</w:t>
      </w:r>
      <w:proofErr w:type="spellStart"/>
      <w:r>
        <w:rPr>
          <w:rFonts w:ascii="Verdana" w:eastAsia="Verdana" w:hAnsi="Verdana" w:cs="Verdana"/>
          <w:sz w:val="20"/>
          <w:szCs w:val="20"/>
          <w:highlight w:val="white"/>
        </w:rPr>
        <w:t>streptococcus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salivarius</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subsp</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thermophilus</w:t>
      </w:r>
      <w:proofErr w:type="spellEnd"/>
      <w:r>
        <w:rPr>
          <w:rFonts w:ascii="Verdana" w:eastAsia="Verdana" w:hAnsi="Verdana" w:cs="Verdana"/>
          <w:sz w:val="20"/>
          <w:szCs w:val="20"/>
          <w:highlight w:val="white"/>
        </w:rPr>
        <w:t>)</w:t>
      </w:r>
    </w:p>
    <w:p w14:paraId="00000022" w14:textId="77777777" w:rsidR="004D5378" w:rsidRDefault="004D5378">
      <w:pPr>
        <w:tabs>
          <w:tab w:val="left" w:pos="-5"/>
        </w:tabs>
        <w:spacing w:after="0" w:line="240" w:lineRule="auto"/>
        <w:ind w:left="0" w:hanging="2"/>
        <w:jc w:val="both"/>
        <w:rPr>
          <w:rFonts w:ascii="Verdana" w:eastAsia="Verdana" w:hAnsi="Verdana" w:cs="Verdana"/>
          <w:b/>
          <w:sz w:val="20"/>
          <w:szCs w:val="20"/>
          <w:highlight w:val="white"/>
        </w:rPr>
      </w:pPr>
    </w:p>
    <w:p w14:paraId="00000023" w14:textId="77777777" w:rsidR="004D5378" w:rsidRDefault="004D5378">
      <w:pPr>
        <w:tabs>
          <w:tab w:val="left" w:pos="-5"/>
        </w:tabs>
        <w:spacing w:after="0" w:line="240" w:lineRule="auto"/>
        <w:ind w:left="0" w:hanging="2"/>
        <w:jc w:val="both"/>
        <w:rPr>
          <w:rFonts w:ascii="Verdana" w:eastAsia="Verdana" w:hAnsi="Verdana" w:cs="Verdana"/>
          <w:b/>
          <w:sz w:val="20"/>
          <w:szCs w:val="20"/>
          <w:highlight w:val="white"/>
        </w:rPr>
      </w:pPr>
    </w:p>
    <w:p w14:paraId="00000025" w14:textId="77777777" w:rsidR="004D5378" w:rsidRDefault="004D5378">
      <w:pPr>
        <w:tabs>
          <w:tab w:val="left" w:pos="-5"/>
        </w:tabs>
        <w:spacing w:after="0" w:line="240" w:lineRule="auto"/>
        <w:ind w:left="0" w:hanging="2"/>
        <w:jc w:val="both"/>
        <w:rPr>
          <w:rFonts w:ascii="Verdana" w:eastAsia="Verdana" w:hAnsi="Verdana" w:cs="Verdana"/>
          <w:b/>
          <w:sz w:val="20"/>
          <w:szCs w:val="20"/>
          <w:highlight w:val="white"/>
        </w:rPr>
      </w:pPr>
    </w:p>
    <w:p w14:paraId="00000026" w14:textId="77777777" w:rsidR="004D5378" w:rsidRDefault="00867F33">
      <w:pPr>
        <w:tabs>
          <w:tab w:val="left" w:pos="-5"/>
        </w:tabs>
        <w:spacing w:after="0" w:line="240" w:lineRule="auto"/>
        <w:ind w:left="0" w:hanging="2"/>
        <w:jc w:val="both"/>
        <w:rPr>
          <w:rFonts w:ascii="Verdana" w:eastAsia="Verdana" w:hAnsi="Verdana" w:cs="Verdana"/>
          <w:b/>
          <w:sz w:val="20"/>
          <w:szCs w:val="20"/>
          <w:highlight w:val="white"/>
        </w:rPr>
      </w:pPr>
      <w:r>
        <w:rPr>
          <w:rFonts w:ascii="Verdana" w:eastAsia="Verdana" w:hAnsi="Verdana" w:cs="Verdana"/>
          <w:b/>
          <w:sz w:val="20"/>
          <w:szCs w:val="20"/>
          <w:highlight w:val="white"/>
        </w:rPr>
        <w:t>Nutrientes críticos en YOX:</w:t>
      </w:r>
    </w:p>
    <w:p w14:paraId="00000027" w14:textId="77777777" w:rsidR="004D5378" w:rsidRDefault="004D5378">
      <w:pPr>
        <w:spacing w:after="0" w:line="240" w:lineRule="auto"/>
        <w:ind w:left="0" w:hanging="2"/>
        <w:jc w:val="both"/>
        <w:rPr>
          <w:rFonts w:ascii="Verdana" w:eastAsia="Verdana" w:hAnsi="Verdana" w:cs="Verdana"/>
          <w:sz w:val="20"/>
          <w:szCs w:val="20"/>
          <w:u w:val="single"/>
        </w:rPr>
      </w:pPr>
    </w:p>
    <w:p w14:paraId="00000028" w14:textId="77777777" w:rsidR="004D5378" w:rsidRDefault="00867F33">
      <w:pPr>
        <w:spacing w:after="0" w:line="240" w:lineRule="auto"/>
        <w:ind w:left="0" w:hanging="2"/>
        <w:jc w:val="both"/>
        <w:rPr>
          <w:rFonts w:ascii="Verdana" w:eastAsia="Verdana" w:hAnsi="Verdana" w:cs="Verdana"/>
          <w:sz w:val="20"/>
          <w:szCs w:val="20"/>
          <w:u w:val="single"/>
        </w:rPr>
      </w:pPr>
      <w:r>
        <w:rPr>
          <w:rFonts w:ascii="Verdana" w:eastAsia="Verdana" w:hAnsi="Verdana" w:cs="Verdana"/>
          <w:sz w:val="20"/>
          <w:szCs w:val="20"/>
        </w:rPr>
        <w:t>Cada porción de 100 gramos (1 botella) aportan un total de 90 Calorías.</w:t>
      </w:r>
    </w:p>
    <w:p w14:paraId="00000029" w14:textId="77777777" w:rsidR="004D5378" w:rsidRDefault="004D5378">
      <w:pPr>
        <w:spacing w:after="0" w:line="240" w:lineRule="auto"/>
        <w:ind w:left="0" w:hanging="2"/>
        <w:jc w:val="both"/>
        <w:rPr>
          <w:rFonts w:ascii="Verdana" w:eastAsia="Verdana" w:hAnsi="Verdana" w:cs="Verdana"/>
          <w:sz w:val="20"/>
          <w:szCs w:val="20"/>
          <w:u w:val="single"/>
        </w:rPr>
      </w:pPr>
    </w:p>
    <w:p w14:paraId="0000002A" w14:textId="5F8828F2" w:rsidR="004D5378" w:rsidRDefault="00867F33">
      <w:pPr>
        <w:numPr>
          <w:ilvl w:val="0"/>
          <w:numId w:val="2"/>
        </w:numPr>
        <w:spacing w:after="0"/>
        <w:ind w:left="0" w:hanging="2"/>
        <w:jc w:val="both"/>
        <w:rPr>
          <w:sz w:val="20"/>
          <w:szCs w:val="20"/>
        </w:rPr>
      </w:pPr>
      <w:r>
        <w:rPr>
          <w:rFonts w:ascii="Verdana" w:eastAsia="Verdana" w:hAnsi="Verdana" w:cs="Verdana"/>
          <w:i/>
          <w:sz w:val="20"/>
          <w:szCs w:val="20"/>
          <w:u w:val="single"/>
        </w:rPr>
        <w:t>Azúcares libres</w:t>
      </w:r>
      <w:r>
        <w:rPr>
          <w:rFonts w:ascii="Verdana" w:eastAsia="Verdana" w:hAnsi="Verdana" w:cs="Verdana"/>
          <w:sz w:val="20"/>
          <w:szCs w:val="20"/>
          <w:vertAlign w:val="superscript"/>
        </w:rPr>
        <w:footnoteReference w:id="1"/>
      </w:r>
      <w:r>
        <w:rPr>
          <w:rFonts w:ascii="Verdana" w:eastAsia="Verdana" w:hAnsi="Verdana" w:cs="Verdana"/>
          <w:sz w:val="20"/>
          <w:szCs w:val="20"/>
        </w:rPr>
        <w:t>: Según los criterios de la Organización Panamericana de la Salud (OPS), este producto contiene más de</w:t>
      </w:r>
      <w:r w:rsidR="00182696">
        <w:rPr>
          <w:rFonts w:ascii="Verdana" w:eastAsia="Verdana" w:hAnsi="Verdana" w:cs="Verdana"/>
          <w:sz w:val="20"/>
          <w:szCs w:val="20"/>
        </w:rPr>
        <w:t xml:space="preserve"> cuatro veces </w:t>
      </w:r>
      <w:r>
        <w:rPr>
          <w:rFonts w:ascii="Verdana" w:eastAsia="Verdana" w:hAnsi="Verdana" w:cs="Verdana"/>
          <w:sz w:val="20"/>
          <w:szCs w:val="20"/>
        </w:rPr>
        <w:t xml:space="preserve">la cantidad recomendada de azúcares libres, 24% de las calorías totales del producto. Del total de las calorías del producto (90), </w:t>
      </w:r>
      <w:r w:rsidR="00182696">
        <w:rPr>
          <w:rFonts w:ascii="Verdana" w:eastAsia="Verdana" w:hAnsi="Verdana" w:cs="Verdana"/>
          <w:sz w:val="20"/>
          <w:szCs w:val="20"/>
        </w:rPr>
        <w:t>49%</w:t>
      </w:r>
      <w:r>
        <w:rPr>
          <w:rFonts w:ascii="Verdana" w:eastAsia="Verdana" w:hAnsi="Verdana" w:cs="Verdana"/>
          <w:sz w:val="20"/>
          <w:szCs w:val="20"/>
        </w:rPr>
        <w:t xml:space="preserve"> calorías provienen de los </w:t>
      </w:r>
      <w:r w:rsidR="00182696">
        <w:rPr>
          <w:rFonts w:ascii="Verdana" w:eastAsia="Verdana" w:hAnsi="Verdana" w:cs="Verdana"/>
          <w:sz w:val="20"/>
          <w:szCs w:val="20"/>
        </w:rPr>
        <w:t>11</w:t>
      </w:r>
      <w:r>
        <w:rPr>
          <w:rFonts w:ascii="Verdana" w:eastAsia="Verdana" w:hAnsi="Verdana" w:cs="Verdana"/>
          <w:sz w:val="20"/>
          <w:szCs w:val="20"/>
        </w:rPr>
        <w:t xml:space="preserve"> gramos de azúcares libres.  </w:t>
      </w:r>
    </w:p>
    <w:p w14:paraId="0000002B" w14:textId="77777777" w:rsidR="004D5378" w:rsidRDefault="00867F33">
      <w:pPr>
        <w:numPr>
          <w:ilvl w:val="0"/>
          <w:numId w:val="2"/>
        </w:numPr>
        <w:spacing w:after="0" w:line="240" w:lineRule="auto"/>
        <w:ind w:left="0" w:hanging="2"/>
        <w:jc w:val="both"/>
        <w:rPr>
          <w:rFonts w:ascii="Verdana" w:eastAsia="Verdana" w:hAnsi="Verdana" w:cs="Verdana"/>
          <w:sz w:val="20"/>
          <w:szCs w:val="20"/>
        </w:rPr>
      </w:pPr>
      <w:r>
        <w:rPr>
          <w:rFonts w:ascii="Verdana" w:eastAsia="Verdana" w:hAnsi="Verdana" w:cs="Verdana"/>
          <w:i/>
          <w:sz w:val="20"/>
          <w:szCs w:val="20"/>
          <w:highlight w:val="white"/>
          <w:u w:val="single"/>
        </w:rPr>
        <w:t>Grasa saturada</w:t>
      </w:r>
      <w:r>
        <w:rPr>
          <w:rFonts w:ascii="Verdana" w:eastAsia="Verdana" w:hAnsi="Verdana" w:cs="Verdana"/>
          <w:sz w:val="20"/>
          <w:szCs w:val="20"/>
          <w:highlight w:val="white"/>
          <w:vertAlign w:val="superscript"/>
        </w:rPr>
        <w:footnoteReference w:id="2"/>
      </w:r>
      <w:r>
        <w:rPr>
          <w:rFonts w:ascii="Verdana" w:eastAsia="Verdana" w:hAnsi="Verdana" w:cs="Verdana"/>
          <w:sz w:val="20"/>
          <w:szCs w:val="20"/>
          <w:highlight w:val="white"/>
        </w:rPr>
        <w:t xml:space="preserve">: </w:t>
      </w:r>
      <w:r>
        <w:rPr>
          <w:rFonts w:ascii="Verdana" w:eastAsia="Verdana" w:hAnsi="Verdana" w:cs="Verdana"/>
          <w:sz w:val="20"/>
          <w:szCs w:val="20"/>
        </w:rPr>
        <w:t xml:space="preserve">Según los criterios de la Organización Panamericana de la Salud (OPS), este producto contiene más de la cantidad recomendada de grasa saturada, 10% de las calorías totales del producto. Del total de las calorías del producto (90), 9 calorías provienen de 1 gramo de grasa saturada.  </w:t>
      </w:r>
    </w:p>
    <w:p w14:paraId="0000002C" w14:textId="77777777" w:rsidR="004D5378" w:rsidRDefault="004D5378">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p>
    <w:p w14:paraId="0000002D" w14:textId="77777777" w:rsidR="004D5378" w:rsidRDefault="00867F33">
      <w:pPr>
        <w:pBdr>
          <w:top w:val="nil"/>
          <w:left w:val="nil"/>
          <w:bottom w:val="nil"/>
          <w:right w:val="nil"/>
          <w:between w:val="nil"/>
        </w:pBdr>
        <w:spacing w:after="0" w:line="240" w:lineRule="auto"/>
        <w:ind w:left="0" w:hanging="2"/>
        <w:jc w:val="both"/>
        <w:rPr>
          <w:rFonts w:ascii="Verdana" w:eastAsia="Verdana" w:hAnsi="Verdana" w:cs="Verdana"/>
          <w:b/>
          <w:sz w:val="20"/>
          <w:szCs w:val="20"/>
        </w:rPr>
      </w:pPr>
      <w:r>
        <w:rPr>
          <w:rFonts w:ascii="Verdana" w:eastAsia="Verdana" w:hAnsi="Verdana" w:cs="Verdana"/>
          <w:b/>
          <w:color w:val="000000"/>
          <w:sz w:val="20"/>
          <w:szCs w:val="20"/>
        </w:rPr>
        <w:t>Aditivos que contiene este producto:</w:t>
      </w:r>
    </w:p>
    <w:p w14:paraId="0000002E" w14:textId="77777777" w:rsidR="004D5378" w:rsidRDefault="004D5378">
      <w:pPr>
        <w:pBdr>
          <w:top w:val="nil"/>
          <w:left w:val="nil"/>
          <w:bottom w:val="nil"/>
          <w:right w:val="nil"/>
          <w:between w:val="nil"/>
        </w:pBdr>
        <w:spacing w:after="0" w:line="240" w:lineRule="auto"/>
        <w:ind w:left="0" w:hanging="2"/>
        <w:jc w:val="both"/>
        <w:rPr>
          <w:rFonts w:ascii="Verdana" w:eastAsia="Verdana" w:hAnsi="Verdana" w:cs="Verdana"/>
          <w:b/>
          <w:sz w:val="20"/>
          <w:szCs w:val="20"/>
        </w:rPr>
      </w:pPr>
    </w:p>
    <w:p w14:paraId="0000002F" w14:textId="24B3A288" w:rsidR="004D5378" w:rsidRDefault="00867F33">
      <w:pPr>
        <w:numPr>
          <w:ilvl w:val="0"/>
          <w:numId w:val="4"/>
        </w:num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Sorbato de potasio (E-202): usado como conservante, </w:t>
      </w:r>
      <w:r w:rsidR="00182696">
        <w:rPr>
          <w:rFonts w:ascii="Verdana" w:eastAsia="Verdana" w:hAnsi="Verdana" w:cs="Verdana"/>
          <w:sz w:val="20"/>
          <w:szCs w:val="20"/>
        </w:rPr>
        <w:t xml:space="preserve">pero diferentes estudios encontraron que es un aditivo que puede tener efectos genotóxicos (5), activar vías inflamatorias </w:t>
      </w:r>
      <w:r>
        <w:rPr>
          <w:rFonts w:ascii="Verdana" w:eastAsia="Verdana" w:hAnsi="Verdana" w:cs="Verdana"/>
          <w:sz w:val="20"/>
          <w:szCs w:val="20"/>
        </w:rPr>
        <w:t>(6)</w:t>
      </w:r>
      <w:r w:rsidR="00182696">
        <w:rPr>
          <w:rFonts w:ascii="Verdana" w:eastAsia="Verdana" w:hAnsi="Verdana" w:cs="Verdana"/>
          <w:sz w:val="20"/>
          <w:szCs w:val="20"/>
        </w:rPr>
        <w:t xml:space="preserve">, </w:t>
      </w:r>
      <w:r>
        <w:rPr>
          <w:rFonts w:ascii="Verdana" w:eastAsia="Verdana" w:hAnsi="Verdana" w:cs="Verdana"/>
          <w:sz w:val="20"/>
          <w:szCs w:val="20"/>
        </w:rPr>
        <w:t>exacerbar los efectos de la diabetes (7)</w:t>
      </w:r>
      <w:r w:rsidR="00182696">
        <w:rPr>
          <w:rFonts w:ascii="Verdana" w:eastAsia="Verdana" w:hAnsi="Verdana" w:cs="Verdana"/>
          <w:sz w:val="20"/>
          <w:szCs w:val="20"/>
        </w:rPr>
        <w:t xml:space="preserve">, afectar </w:t>
      </w:r>
      <w:r>
        <w:rPr>
          <w:rFonts w:ascii="Verdana" w:eastAsia="Verdana" w:hAnsi="Verdana" w:cs="Verdana"/>
          <w:sz w:val="20"/>
          <w:szCs w:val="20"/>
        </w:rPr>
        <w:t xml:space="preserve">la microbiota intestinal, especialmente las bacterias antiinflamatorias, afectar a su vez el </w:t>
      </w:r>
      <w:r w:rsidR="00182696">
        <w:rPr>
          <w:rFonts w:ascii="Verdana" w:eastAsia="Verdana" w:hAnsi="Verdana" w:cs="Verdana"/>
          <w:sz w:val="20"/>
          <w:szCs w:val="20"/>
        </w:rPr>
        <w:t xml:space="preserve">sistema inmunológico humano (8); </w:t>
      </w:r>
      <w:r w:rsidR="00933BE6">
        <w:rPr>
          <w:rFonts w:ascii="Verdana" w:eastAsia="Verdana" w:hAnsi="Verdana" w:cs="Verdana"/>
          <w:sz w:val="20"/>
          <w:szCs w:val="20"/>
        </w:rPr>
        <w:t xml:space="preserve">y </w:t>
      </w:r>
      <w:r>
        <w:rPr>
          <w:rFonts w:ascii="Verdana" w:eastAsia="Verdana" w:hAnsi="Verdana" w:cs="Verdana"/>
          <w:sz w:val="20"/>
          <w:szCs w:val="20"/>
        </w:rPr>
        <w:t>causar la aparición de reacciones alérgicas a nivel de vías respiratorias, del tracto digestivo y l</w:t>
      </w:r>
      <w:r w:rsidR="00933BE6">
        <w:rPr>
          <w:rFonts w:ascii="Verdana" w:eastAsia="Verdana" w:hAnsi="Verdana" w:cs="Verdana"/>
          <w:sz w:val="20"/>
          <w:szCs w:val="20"/>
        </w:rPr>
        <w:t xml:space="preserve">a piel en personas susceptibles. Se </w:t>
      </w:r>
      <w:r>
        <w:rPr>
          <w:rFonts w:ascii="Verdana" w:eastAsia="Verdana" w:hAnsi="Verdana" w:cs="Verdana"/>
          <w:sz w:val="20"/>
          <w:szCs w:val="20"/>
        </w:rPr>
        <w:t xml:space="preserve">recomienda evitar el consumo </w:t>
      </w:r>
      <w:r w:rsidR="00933BE6">
        <w:rPr>
          <w:rFonts w:ascii="Verdana" w:eastAsia="Verdana" w:hAnsi="Verdana" w:cs="Verdana"/>
          <w:sz w:val="20"/>
          <w:szCs w:val="20"/>
        </w:rPr>
        <w:t xml:space="preserve">habitual </w:t>
      </w:r>
      <w:r>
        <w:rPr>
          <w:rFonts w:ascii="Verdana" w:eastAsia="Verdana" w:hAnsi="Verdana" w:cs="Verdana"/>
          <w:sz w:val="20"/>
          <w:szCs w:val="20"/>
        </w:rPr>
        <w:t xml:space="preserve">de alimentos que lo contengan (9). </w:t>
      </w:r>
      <w:r>
        <w:rPr>
          <w:rFonts w:ascii="Verdana" w:eastAsia="Verdana" w:hAnsi="Verdana" w:cs="Verdana"/>
          <w:sz w:val="20"/>
          <w:szCs w:val="20"/>
          <w:highlight w:val="white"/>
          <w:u w:val="single"/>
        </w:rPr>
        <w:t>Este aditivo tiene potencial efecto nocivo para la salud.</w:t>
      </w:r>
    </w:p>
    <w:p w14:paraId="00000030" w14:textId="77777777" w:rsidR="004D5378" w:rsidRDefault="00867F33">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Pectina (E-440i): usado como espesante natural (</w:t>
      </w:r>
      <w:r>
        <w:rPr>
          <w:rFonts w:ascii="Verdana" w:eastAsia="Verdana" w:hAnsi="Verdana" w:cs="Verdana"/>
          <w:sz w:val="20"/>
          <w:szCs w:val="20"/>
        </w:rPr>
        <w:t>10</w:t>
      </w:r>
      <w:r>
        <w:rPr>
          <w:rFonts w:ascii="Verdana" w:eastAsia="Verdana" w:hAnsi="Verdana" w:cs="Verdana"/>
          <w:color w:val="000000"/>
          <w:sz w:val="20"/>
          <w:szCs w:val="20"/>
        </w:rPr>
        <w:t xml:space="preserve">). </w:t>
      </w:r>
    </w:p>
    <w:p w14:paraId="00000031" w14:textId="77777777" w:rsidR="004D5378" w:rsidRDefault="00867F33">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Pr>
          <w:rFonts w:ascii="Verdana" w:eastAsia="Verdana" w:hAnsi="Verdana" w:cs="Verdana"/>
          <w:color w:val="000000"/>
          <w:sz w:val="20"/>
          <w:szCs w:val="20"/>
        </w:rPr>
        <w:t xml:space="preserve">Sabor idéntico al natural a melocotón: No refiere que tipo de químico utiliza, sus efectos pueden ser inciertos. </w:t>
      </w:r>
    </w:p>
    <w:p w14:paraId="00000033" w14:textId="1A96919A" w:rsidR="004D5378" w:rsidRPr="00637DD2" w:rsidRDefault="00867F33" w:rsidP="007264CC">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proofErr w:type="spellStart"/>
      <w:r w:rsidRPr="00637DD2">
        <w:rPr>
          <w:rFonts w:ascii="Verdana" w:eastAsia="Verdana" w:hAnsi="Verdana" w:cs="Verdana"/>
          <w:color w:val="000000"/>
          <w:sz w:val="20"/>
          <w:szCs w:val="20"/>
        </w:rPr>
        <w:t>Annato</w:t>
      </w:r>
      <w:proofErr w:type="spellEnd"/>
      <w:r w:rsidRPr="00637DD2">
        <w:rPr>
          <w:rFonts w:ascii="Verdana" w:eastAsia="Verdana" w:hAnsi="Verdana" w:cs="Verdana"/>
          <w:color w:val="000000"/>
          <w:sz w:val="20"/>
          <w:szCs w:val="20"/>
        </w:rPr>
        <w:t xml:space="preserve"> (E-160b): </w:t>
      </w:r>
      <w:r w:rsidR="00A91184" w:rsidRPr="00637DD2">
        <w:rPr>
          <w:rFonts w:ascii="Verdana" w:eastAsia="Verdana" w:hAnsi="Verdana" w:cs="Verdana"/>
          <w:color w:val="000000"/>
          <w:sz w:val="20"/>
          <w:szCs w:val="20"/>
          <w:highlight w:val="white"/>
        </w:rPr>
        <w:t xml:space="preserve">usado como colorante natural, que según diversos estudios puede causar reacciones alérgicas (11,12) causando síntomas como urticaria crónica y anafilaxia (13) </w:t>
      </w:r>
      <w:r w:rsidR="00A91184" w:rsidRPr="00637DD2">
        <w:rPr>
          <w:rFonts w:ascii="Verdana" w:eastAsia="Verdana" w:hAnsi="Verdana" w:cs="Verdana"/>
          <w:sz w:val="20"/>
          <w:szCs w:val="20"/>
          <w:highlight w:val="white"/>
          <w:u w:val="single"/>
        </w:rPr>
        <w:t>Este aditivo tiene potencial efecto nocivo para la salud</w:t>
      </w:r>
      <w:r w:rsidR="00637DD2">
        <w:rPr>
          <w:rFonts w:ascii="Verdana" w:eastAsia="Verdana" w:hAnsi="Verdana" w:cs="Verdana"/>
          <w:sz w:val="20"/>
          <w:szCs w:val="20"/>
          <w:u w:val="single"/>
        </w:rPr>
        <w:t>.</w:t>
      </w:r>
    </w:p>
    <w:p w14:paraId="1D5C90F9" w14:textId="77777777" w:rsidR="00637DD2" w:rsidRPr="00637DD2" w:rsidRDefault="00637DD2" w:rsidP="00637DD2">
      <w:pPr>
        <w:pBdr>
          <w:top w:val="nil"/>
          <w:left w:val="nil"/>
          <w:bottom w:val="nil"/>
          <w:right w:val="nil"/>
          <w:between w:val="nil"/>
        </w:pBdr>
        <w:spacing w:after="0" w:line="240" w:lineRule="auto"/>
        <w:ind w:leftChars="0" w:left="0" w:firstLineChars="0" w:firstLine="0"/>
        <w:jc w:val="both"/>
        <w:rPr>
          <w:rFonts w:ascii="Verdana" w:eastAsia="Verdana" w:hAnsi="Verdana" w:cs="Verdana"/>
          <w:color w:val="000000"/>
          <w:sz w:val="20"/>
          <w:szCs w:val="20"/>
        </w:rPr>
      </w:pPr>
    </w:p>
    <w:p w14:paraId="00000034" w14:textId="3DC2D811" w:rsidR="004D5378" w:rsidRDefault="00867F33">
      <w:pPr>
        <w:spacing w:line="240" w:lineRule="auto"/>
        <w:ind w:left="0" w:hanging="2"/>
        <w:jc w:val="both"/>
        <w:rPr>
          <w:rFonts w:ascii="Verdana" w:eastAsia="Verdana" w:hAnsi="Verdana" w:cs="Verdana"/>
          <w:sz w:val="20"/>
          <w:szCs w:val="20"/>
        </w:rPr>
      </w:pPr>
      <w:r>
        <w:rPr>
          <w:rFonts w:ascii="Verdana" w:eastAsia="Verdana" w:hAnsi="Verdana" w:cs="Verdana"/>
          <w:b/>
          <w:sz w:val="20"/>
          <w:szCs w:val="20"/>
        </w:rPr>
        <w:t xml:space="preserve">Recomendaciones finales: </w:t>
      </w:r>
      <w:r>
        <w:rPr>
          <w:rFonts w:ascii="Verdana" w:eastAsia="Verdana" w:hAnsi="Verdana" w:cs="Verdana"/>
          <w:sz w:val="20"/>
          <w:szCs w:val="20"/>
        </w:rPr>
        <w:t>Una buena alternativa a este producto es beber leche</w:t>
      </w:r>
      <w:r w:rsidR="00637DD2">
        <w:rPr>
          <w:rFonts w:ascii="Verdana" w:eastAsia="Verdana" w:hAnsi="Verdana" w:cs="Verdana"/>
          <w:sz w:val="20"/>
          <w:szCs w:val="20"/>
        </w:rPr>
        <w:t>, preparar yogurt casero</w:t>
      </w:r>
      <w:r>
        <w:rPr>
          <w:rFonts w:ascii="Verdana" w:eastAsia="Verdana" w:hAnsi="Verdana" w:cs="Verdana"/>
          <w:sz w:val="20"/>
          <w:szCs w:val="20"/>
        </w:rPr>
        <w:t xml:space="preserve"> o consumir otros derivados lácteos, sin adición de azúcar, sal o aditivos no saludables. </w:t>
      </w:r>
    </w:p>
    <w:p w14:paraId="00000035" w14:textId="77777777" w:rsidR="004D5378" w:rsidRDefault="00867F33">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lastRenderedPageBreak/>
        <w:t xml:space="preserve">Elaborado por: ND Paula Ardila, ND </w:t>
      </w:r>
      <w:proofErr w:type="spellStart"/>
      <w:r>
        <w:rPr>
          <w:rFonts w:ascii="Verdana" w:eastAsia="Verdana" w:hAnsi="Verdana" w:cs="Verdana"/>
          <w:sz w:val="20"/>
          <w:szCs w:val="20"/>
        </w:rPr>
        <w:t>Yessica</w:t>
      </w:r>
      <w:proofErr w:type="spellEnd"/>
      <w:r>
        <w:rPr>
          <w:rFonts w:ascii="Verdana" w:eastAsia="Verdana" w:hAnsi="Verdana" w:cs="Verdana"/>
          <w:sz w:val="20"/>
          <w:szCs w:val="20"/>
        </w:rPr>
        <w:t xml:space="preserve"> Gil</w:t>
      </w:r>
      <w:r>
        <w:rPr>
          <w:rFonts w:ascii="Verdana" w:eastAsia="Verdana" w:hAnsi="Verdana" w:cs="Verdana"/>
          <w:sz w:val="20"/>
          <w:szCs w:val="20"/>
          <w:vertAlign w:val="superscript"/>
        </w:rPr>
        <w:footnoteReference w:id="3"/>
      </w:r>
      <w:r>
        <w:rPr>
          <w:rFonts w:ascii="Verdana" w:eastAsia="Verdana" w:hAnsi="Verdana" w:cs="Verdana"/>
          <w:sz w:val="20"/>
          <w:szCs w:val="20"/>
        </w:rPr>
        <w:t>, ND Kathleen Forbes</w:t>
      </w:r>
      <w:r>
        <w:rPr>
          <w:rFonts w:ascii="Verdana" w:eastAsia="Verdana" w:hAnsi="Verdana" w:cs="Verdana"/>
          <w:sz w:val="20"/>
          <w:szCs w:val="20"/>
          <w:vertAlign w:val="superscript"/>
        </w:rPr>
        <w:t>4</w:t>
      </w:r>
      <w:r>
        <w:rPr>
          <w:rFonts w:ascii="Verdana" w:eastAsia="Verdana" w:hAnsi="Verdana" w:cs="Verdana"/>
          <w:sz w:val="20"/>
          <w:szCs w:val="20"/>
        </w:rPr>
        <w:t>, ND Daniela Tinoco⁴, Fabián Avellaneda⁴.</w:t>
      </w:r>
    </w:p>
    <w:p w14:paraId="07C879EE" w14:textId="77777777" w:rsidR="00B539B5" w:rsidRDefault="00867F33" w:rsidP="00B539B5">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Revisó: ND Mercedes Mora Plazas</w:t>
      </w:r>
      <w:r w:rsidR="00B539B5">
        <w:rPr>
          <w:rFonts w:ascii="Verdana" w:eastAsia="Verdana" w:hAnsi="Verdana" w:cs="Verdana"/>
          <w:sz w:val="20"/>
          <w:szCs w:val="20"/>
        </w:rPr>
        <w:t xml:space="preserve">, ND </w:t>
      </w:r>
      <w:proofErr w:type="spellStart"/>
      <w:r w:rsidR="00B539B5">
        <w:rPr>
          <w:rFonts w:ascii="Verdana" w:eastAsia="Verdana" w:hAnsi="Verdana" w:cs="Verdana"/>
          <w:sz w:val="20"/>
          <w:szCs w:val="20"/>
        </w:rPr>
        <w:t>Ruben</w:t>
      </w:r>
      <w:proofErr w:type="spellEnd"/>
      <w:r w:rsidR="00B539B5">
        <w:rPr>
          <w:rFonts w:ascii="Verdana" w:eastAsia="Verdana" w:hAnsi="Verdana" w:cs="Verdana"/>
          <w:sz w:val="20"/>
          <w:szCs w:val="20"/>
        </w:rPr>
        <w:t xml:space="preserve"> Orjuela, MSP Sharon Sánchez.</w:t>
      </w:r>
    </w:p>
    <w:p w14:paraId="00000036" w14:textId="77777777" w:rsidR="004D5378" w:rsidRDefault="004D5378">
      <w:pPr>
        <w:spacing w:after="0" w:line="240" w:lineRule="auto"/>
        <w:ind w:left="0" w:hanging="2"/>
        <w:jc w:val="both"/>
        <w:rPr>
          <w:rFonts w:ascii="Verdana" w:eastAsia="Verdana" w:hAnsi="Verdana" w:cs="Verdana"/>
          <w:sz w:val="20"/>
          <w:szCs w:val="20"/>
        </w:rPr>
      </w:pPr>
    </w:p>
    <w:p w14:paraId="00000037" w14:textId="77777777" w:rsidR="004D5378" w:rsidRDefault="004D5378">
      <w:pPr>
        <w:spacing w:line="240" w:lineRule="auto"/>
        <w:ind w:left="0" w:hanging="2"/>
        <w:jc w:val="both"/>
        <w:rPr>
          <w:rFonts w:ascii="Verdana" w:eastAsia="Verdana" w:hAnsi="Verdana" w:cs="Verdana"/>
          <w:sz w:val="20"/>
          <w:szCs w:val="20"/>
        </w:rPr>
      </w:pPr>
    </w:p>
    <w:p w14:paraId="00000038" w14:textId="77777777" w:rsidR="004D5378" w:rsidRDefault="00867F33">
      <w:pPr>
        <w:spacing w:line="240" w:lineRule="auto"/>
        <w:ind w:left="0" w:hanging="2"/>
        <w:jc w:val="both"/>
        <w:rPr>
          <w:rFonts w:ascii="Verdana" w:eastAsia="Verdana" w:hAnsi="Verdana" w:cs="Verdana"/>
          <w:sz w:val="20"/>
          <w:szCs w:val="20"/>
        </w:rPr>
      </w:pPr>
      <w:r>
        <w:rPr>
          <w:rFonts w:ascii="Verdana" w:eastAsia="Verdana" w:hAnsi="Verdana" w:cs="Verdana"/>
          <w:i/>
          <w:sz w:val="20"/>
          <w:szCs w:val="20"/>
        </w:rPr>
        <w:t xml:space="preserve">Nota: </w:t>
      </w:r>
      <w:r>
        <w:rPr>
          <w:rFonts w:ascii="Verdana" w:eastAsia="Verdana" w:hAnsi="Verdana" w:cs="Verdana"/>
          <w:sz w:val="20"/>
          <w:szCs w:val="20"/>
        </w:rPr>
        <w:t>Para mayor información consultar el documento “Anexo técnico radiografías”</w:t>
      </w:r>
    </w:p>
    <w:p w14:paraId="00000039" w14:textId="77777777" w:rsidR="004D5378" w:rsidRDefault="004D5378">
      <w:pPr>
        <w:spacing w:after="0" w:line="240" w:lineRule="auto"/>
        <w:ind w:left="0" w:hanging="2"/>
        <w:jc w:val="both"/>
        <w:rPr>
          <w:rFonts w:ascii="Verdana" w:eastAsia="Verdana" w:hAnsi="Verdana" w:cs="Verdana"/>
          <w:i/>
          <w:sz w:val="20"/>
          <w:szCs w:val="20"/>
        </w:rPr>
      </w:pPr>
    </w:p>
    <w:p w14:paraId="0000003A" w14:textId="77777777" w:rsidR="004D5378" w:rsidRDefault="004D5378">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u w:val="single"/>
        </w:rPr>
      </w:pPr>
    </w:p>
    <w:p w14:paraId="0000003B" w14:textId="77777777" w:rsidR="004D5378" w:rsidRDefault="00867F33">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u w:val="single"/>
        </w:rPr>
      </w:pPr>
      <w:r>
        <w:rPr>
          <w:rFonts w:ascii="Verdana" w:eastAsia="Verdana" w:hAnsi="Verdana" w:cs="Verdana"/>
          <w:b/>
          <w:color w:val="000000"/>
          <w:sz w:val="20"/>
          <w:szCs w:val="20"/>
          <w:u w:val="single"/>
        </w:rPr>
        <w:t>Bibliografía:</w:t>
      </w:r>
    </w:p>
    <w:p w14:paraId="0000003C" w14:textId="77777777" w:rsidR="004D5378" w:rsidRDefault="004D5378">
      <w:pPr>
        <w:pBdr>
          <w:top w:val="nil"/>
          <w:left w:val="nil"/>
          <w:bottom w:val="nil"/>
          <w:right w:val="nil"/>
          <w:between w:val="nil"/>
        </w:pBdr>
        <w:spacing w:line="240" w:lineRule="auto"/>
        <w:ind w:left="0" w:hanging="2"/>
        <w:jc w:val="both"/>
        <w:rPr>
          <w:rFonts w:ascii="Verdana" w:eastAsia="Verdana" w:hAnsi="Verdana" w:cs="Verdana"/>
          <w:sz w:val="20"/>
          <w:szCs w:val="20"/>
        </w:rPr>
      </w:pPr>
    </w:p>
    <w:p w14:paraId="0000003D" w14:textId="77777777" w:rsidR="004D5378" w:rsidRDefault="00867F33">
      <w:pPr>
        <w:widowControl w:val="0"/>
        <w:numPr>
          <w:ilvl w:val="0"/>
          <w:numId w:val="5"/>
        </w:numPr>
        <w:spacing w:after="20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Organización Panamericana de la Salud. (2016). Modelo de perfil de nutrientes de la Organización Panamericana de la Salud.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www.paho.org/permissions</w:t>
        </w:r>
      </w:hyperlink>
    </w:p>
    <w:p w14:paraId="0000003E" w14:textId="77777777" w:rsidR="004D5378" w:rsidRDefault="00867F33">
      <w:pPr>
        <w:widowControl w:val="0"/>
        <w:numPr>
          <w:ilvl w:val="0"/>
          <w:numId w:val="5"/>
        </w:numPr>
        <w:spacing w:after="200" w:line="240" w:lineRule="auto"/>
        <w:ind w:left="0" w:hanging="2"/>
        <w:jc w:val="both"/>
        <w:rPr>
          <w:rFonts w:ascii="Verdana" w:eastAsia="Verdana" w:hAnsi="Verdana" w:cs="Verdana"/>
          <w:sz w:val="20"/>
          <w:szCs w:val="20"/>
        </w:rPr>
      </w:pPr>
      <w:proofErr w:type="spellStart"/>
      <w:r w:rsidRPr="005F6588">
        <w:rPr>
          <w:rFonts w:ascii="Verdana" w:eastAsia="Verdana" w:hAnsi="Verdana" w:cs="Verdana"/>
          <w:sz w:val="20"/>
          <w:szCs w:val="20"/>
          <w:lang w:val="en-US"/>
        </w:rPr>
        <w:t>Chaib</w:t>
      </w:r>
      <w:proofErr w:type="spellEnd"/>
      <w:r w:rsidRPr="005F6588">
        <w:rPr>
          <w:rFonts w:ascii="Verdana" w:eastAsia="Verdana" w:hAnsi="Verdana" w:cs="Verdana"/>
          <w:sz w:val="20"/>
          <w:szCs w:val="20"/>
          <w:lang w:val="en-US"/>
        </w:rPr>
        <w:t xml:space="preserve">, R., &amp; Barone, M. (2020). Uses of Chemicals in the Food and Beverage Industry. </w:t>
      </w:r>
      <w:r>
        <w:rPr>
          <w:rFonts w:ascii="Verdana" w:eastAsia="Verdana" w:hAnsi="Verdana" w:cs="Verdana"/>
          <w:sz w:val="20"/>
          <w:szCs w:val="20"/>
        </w:rPr>
        <w:t xml:space="preserve">In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(pp. 35-42). Springer, Cham.</w:t>
      </w:r>
    </w:p>
    <w:p w14:paraId="0000003F" w14:textId="77777777" w:rsidR="004D5378" w:rsidRDefault="00867F33">
      <w:pPr>
        <w:widowControl w:val="0"/>
        <w:numPr>
          <w:ilvl w:val="0"/>
          <w:numId w:val="5"/>
        </w:numPr>
        <w:spacing w:after="200" w:line="240" w:lineRule="auto"/>
        <w:ind w:left="0" w:hanging="2"/>
        <w:jc w:val="both"/>
        <w:rPr>
          <w:rFonts w:ascii="Verdana" w:eastAsia="Verdana" w:hAnsi="Verdana" w:cs="Verdana"/>
          <w:sz w:val="20"/>
          <w:szCs w:val="20"/>
        </w:rPr>
      </w:pPr>
      <w:r w:rsidRPr="005F6588">
        <w:rPr>
          <w:rFonts w:ascii="Verdana" w:eastAsia="Verdana" w:hAnsi="Verdana" w:cs="Verdana"/>
          <w:sz w:val="20"/>
          <w:szCs w:val="20"/>
          <w:lang w:val="en-US"/>
        </w:rPr>
        <w:t xml:space="preserve">Jansen, T., Claassen, L., van Kamp, I., &amp; Timmermans, D. R. (2020). ‘All chemical substances are </w:t>
      </w:r>
      <w:proofErr w:type="spellStart"/>
      <w:r w:rsidRPr="005F6588">
        <w:rPr>
          <w:rFonts w:ascii="Verdana" w:eastAsia="Verdana" w:hAnsi="Verdana" w:cs="Verdana"/>
          <w:sz w:val="20"/>
          <w:szCs w:val="20"/>
          <w:lang w:val="en-US"/>
        </w:rPr>
        <w:t>harmful.’public</w:t>
      </w:r>
      <w:proofErr w:type="spellEnd"/>
      <w:r w:rsidRPr="005F6588">
        <w:rPr>
          <w:rFonts w:ascii="Verdana" w:eastAsia="Verdana" w:hAnsi="Verdana" w:cs="Verdana"/>
          <w:sz w:val="20"/>
          <w:szCs w:val="20"/>
          <w:lang w:val="en-US"/>
        </w:rPr>
        <w:t xml:space="preserve"> appraisal of uncertain risks of food additives and contaminants.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Chemical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136, 110959.</w:t>
      </w:r>
    </w:p>
    <w:p w14:paraId="00000040" w14:textId="77777777" w:rsidR="004D5378" w:rsidRDefault="00867F33">
      <w:pPr>
        <w:numPr>
          <w:ilvl w:val="0"/>
          <w:numId w:val="5"/>
        </w:numPr>
        <w:ind w:left="0" w:hanging="2"/>
        <w:jc w:val="both"/>
        <w:rPr>
          <w:rFonts w:ascii="Verdana" w:eastAsia="Verdana" w:hAnsi="Verdana" w:cs="Verdana"/>
          <w:sz w:val="20"/>
          <w:szCs w:val="20"/>
        </w:rPr>
      </w:pPr>
      <w:r w:rsidRPr="005F6588">
        <w:rPr>
          <w:rFonts w:ascii="Verdana" w:eastAsia="Verdana" w:hAnsi="Verdana" w:cs="Verdana"/>
          <w:sz w:val="20"/>
          <w:szCs w:val="20"/>
          <w:lang w:val="en-US"/>
        </w:rPr>
        <w:t xml:space="preserve">Elizabeth, L., Machado, P., </w:t>
      </w:r>
      <w:proofErr w:type="spellStart"/>
      <w:r w:rsidRPr="005F6588">
        <w:rPr>
          <w:rFonts w:ascii="Verdana" w:eastAsia="Verdana" w:hAnsi="Verdana" w:cs="Verdana"/>
          <w:sz w:val="20"/>
          <w:szCs w:val="20"/>
          <w:lang w:val="en-US"/>
        </w:rPr>
        <w:t>Zinöcker</w:t>
      </w:r>
      <w:proofErr w:type="spellEnd"/>
      <w:r w:rsidRPr="005F6588">
        <w:rPr>
          <w:rFonts w:ascii="Verdana" w:eastAsia="Verdana" w:hAnsi="Verdana" w:cs="Verdana"/>
          <w:sz w:val="20"/>
          <w:szCs w:val="20"/>
          <w:lang w:val="en-US"/>
        </w:rPr>
        <w:t xml:space="preserve">, M., Baker, P., &amp; Lawrence, M. (2020). Ultra-processed foods and health outcomes: a narrative review. Nutrients. </w:t>
      </w:r>
      <w:r>
        <w:rPr>
          <w:rFonts w:ascii="Verdana" w:eastAsia="Verdana" w:hAnsi="Verdana" w:cs="Verdana"/>
          <w:sz w:val="20"/>
          <w:szCs w:val="20"/>
        </w:rPr>
        <w:t>12(7), 1995.</w:t>
      </w:r>
    </w:p>
    <w:p w14:paraId="00000041" w14:textId="77777777" w:rsidR="004D5378" w:rsidRDefault="00867F33">
      <w:pPr>
        <w:numPr>
          <w:ilvl w:val="0"/>
          <w:numId w:val="5"/>
        </w:numPr>
        <w:ind w:left="0" w:hanging="2"/>
        <w:jc w:val="both"/>
        <w:rPr>
          <w:rFonts w:ascii="Verdana" w:eastAsia="Verdana" w:hAnsi="Verdana" w:cs="Verdana"/>
          <w:sz w:val="20"/>
          <w:szCs w:val="20"/>
        </w:rPr>
      </w:pPr>
      <w:proofErr w:type="spellStart"/>
      <w:r w:rsidRPr="005F6588">
        <w:rPr>
          <w:rFonts w:ascii="Verdana" w:eastAsia="Verdana" w:hAnsi="Verdana" w:cs="Verdana"/>
          <w:sz w:val="20"/>
          <w:szCs w:val="20"/>
          <w:lang w:val="en-US"/>
        </w:rPr>
        <w:t>Mamur</w:t>
      </w:r>
      <w:proofErr w:type="spellEnd"/>
      <w:r w:rsidRPr="005F6588">
        <w:rPr>
          <w:rFonts w:ascii="Verdana" w:eastAsia="Verdana" w:hAnsi="Verdana" w:cs="Verdana"/>
          <w:sz w:val="20"/>
          <w:szCs w:val="20"/>
          <w:lang w:val="en-US"/>
        </w:rPr>
        <w:t xml:space="preserve"> S, </w:t>
      </w:r>
      <w:proofErr w:type="spellStart"/>
      <w:r w:rsidRPr="005F6588">
        <w:rPr>
          <w:rFonts w:ascii="Verdana" w:eastAsia="Verdana" w:hAnsi="Verdana" w:cs="Verdana"/>
          <w:sz w:val="20"/>
          <w:szCs w:val="20"/>
          <w:lang w:val="en-US"/>
        </w:rPr>
        <w:t>Yüzbaşioǧlu</w:t>
      </w:r>
      <w:proofErr w:type="spellEnd"/>
      <w:r w:rsidRPr="005F6588">
        <w:rPr>
          <w:rFonts w:ascii="Verdana" w:eastAsia="Verdana" w:hAnsi="Verdana" w:cs="Verdana"/>
          <w:sz w:val="20"/>
          <w:szCs w:val="20"/>
          <w:lang w:val="en-US"/>
        </w:rPr>
        <w:t xml:space="preserve"> D, </w:t>
      </w:r>
      <w:proofErr w:type="spellStart"/>
      <w:r w:rsidRPr="005F6588">
        <w:rPr>
          <w:rFonts w:ascii="Verdana" w:eastAsia="Verdana" w:hAnsi="Verdana" w:cs="Verdana"/>
          <w:sz w:val="20"/>
          <w:szCs w:val="20"/>
          <w:lang w:val="en-US"/>
        </w:rPr>
        <w:t>Ünal</w:t>
      </w:r>
      <w:proofErr w:type="spellEnd"/>
      <w:r w:rsidRPr="005F6588">
        <w:rPr>
          <w:rFonts w:ascii="Verdana" w:eastAsia="Verdana" w:hAnsi="Verdana" w:cs="Verdana"/>
          <w:sz w:val="20"/>
          <w:szCs w:val="20"/>
          <w:lang w:val="en-US"/>
        </w:rPr>
        <w:t xml:space="preserve"> F, Yilmaz S. Does potassium sorbate induce genotoxic or mutagenic effects in lymphocytes? </w:t>
      </w:r>
      <w:proofErr w:type="spellStart"/>
      <w:r>
        <w:rPr>
          <w:rFonts w:ascii="Verdana" w:eastAsia="Verdana" w:hAnsi="Verdana" w:cs="Verdana"/>
          <w:sz w:val="20"/>
          <w:szCs w:val="20"/>
        </w:rPr>
        <w:t>Toxicol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Vitr</w:t>
      </w:r>
      <w:proofErr w:type="spellEnd"/>
      <w:r>
        <w:rPr>
          <w:rFonts w:ascii="Verdana" w:eastAsia="Verdana" w:hAnsi="Verdana" w:cs="Verdana"/>
          <w:sz w:val="20"/>
          <w:szCs w:val="20"/>
        </w:rPr>
        <w:t xml:space="preserve">. 2010;24(3):790–4. </w:t>
      </w:r>
    </w:p>
    <w:p w14:paraId="00000042" w14:textId="77777777" w:rsidR="004D5378" w:rsidRDefault="00867F33">
      <w:pPr>
        <w:numPr>
          <w:ilvl w:val="0"/>
          <w:numId w:val="5"/>
        </w:numPr>
        <w:ind w:left="0" w:hanging="2"/>
        <w:jc w:val="both"/>
        <w:rPr>
          <w:rFonts w:ascii="Verdana" w:eastAsia="Verdana" w:hAnsi="Verdana" w:cs="Verdana"/>
          <w:sz w:val="20"/>
          <w:szCs w:val="20"/>
        </w:rPr>
      </w:pPr>
      <w:r>
        <w:rPr>
          <w:rFonts w:ascii="Verdana" w:eastAsia="Verdana" w:hAnsi="Verdana" w:cs="Verdana"/>
          <w:sz w:val="20"/>
          <w:szCs w:val="20"/>
        </w:rPr>
        <w:t xml:space="preserve">Raposa B, </w:t>
      </w:r>
      <w:proofErr w:type="spellStart"/>
      <w:r>
        <w:rPr>
          <w:rFonts w:ascii="Verdana" w:eastAsia="Verdana" w:hAnsi="Verdana" w:cs="Verdana"/>
          <w:sz w:val="20"/>
          <w:szCs w:val="20"/>
        </w:rPr>
        <w:t>Pónusz</w:t>
      </w:r>
      <w:proofErr w:type="spellEnd"/>
      <w:r>
        <w:rPr>
          <w:rFonts w:ascii="Verdana" w:eastAsia="Verdana" w:hAnsi="Verdana" w:cs="Verdana"/>
          <w:sz w:val="20"/>
          <w:szCs w:val="20"/>
        </w:rPr>
        <w:t xml:space="preserve"> R, </w:t>
      </w:r>
      <w:proofErr w:type="spellStart"/>
      <w:r>
        <w:rPr>
          <w:rFonts w:ascii="Verdana" w:eastAsia="Verdana" w:hAnsi="Verdana" w:cs="Verdana"/>
          <w:sz w:val="20"/>
          <w:szCs w:val="20"/>
        </w:rPr>
        <w:t>Gerencsér</w:t>
      </w:r>
      <w:proofErr w:type="spellEnd"/>
      <w:r>
        <w:rPr>
          <w:rFonts w:ascii="Verdana" w:eastAsia="Verdana" w:hAnsi="Verdana" w:cs="Verdana"/>
          <w:sz w:val="20"/>
          <w:szCs w:val="20"/>
        </w:rPr>
        <w:t xml:space="preserve"> G, </w:t>
      </w:r>
      <w:proofErr w:type="spellStart"/>
      <w:r>
        <w:rPr>
          <w:rFonts w:ascii="Verdana" w:eastAsia="Verdana" w:hAnsi="Verdana" w:cs="Verdana"/>
          <w:sz w:val="20"/>
          <w:szCs w:val="20"/>
        </w:rPr>
        <w:t>Budán</w:t>
      </w:r>
      <w:proofErr w:type="spellEnd"/>
      <w:r>
        <w:rPr>
          <w:rFonts w:ascii="Verdana" w:eastAsia="Verdana" w:hAnsi="Verdana" w:cs="Verdana"/>
          <w:sz w:val="20"/>
          <w:szCs w:val="20"/>
        </w:rPr>
        <w:t xml:space="preserve"> F, </w:t>
      </w:r>
      <w:proofErr w:type="spellStart"/>
      <w:r>
        <w:rPr>
          <w:rFonts w:ascii="Verdana" w:eastAsia="Verdana" w:hAnsi="Verdana" w:cs="Verdana"/>
          <w:sz w:val="20"/>
          <w:szCs w:val="20"/>
        </w:rPr>
        <w:t>Gyöngyi</w:t>
      </w:r>
      <w:proofErr w:type="spellEnd"/>
      <w:r>
        <w:rPr>
          <w:rFonts w:ascii="Verdana" w:eastAsia="Verdana" w:hAnsi="Verdana" w:cs="Verdana"/>
          <w:sz w:val="20"/>
          <w:szCs w:val="20"/>
        </w:rPr>
        <w:t xml:space="preserve"> Z, </w:t>
      </w:r>
      <w:proofErr w:type="spellStart"/>
      <w:r>
        <w:rPr>
          <w:rFonts w:ascii="Verdana" w:eastAsia="Verdana" w:hAnsi="Verdana" w:cs="Verdana"/>
          <w:sz w:val="20"/>
          <w:szCs w:val="20"/>
        </w:rPr>
        <w:t>Tibold</w:t>
      </w:r>
      <w:proofErr w:type="spellEnd"/>
      <w:r>
        <w:rPr>
          <w:rFonts w:ascii="Verdana" w:eastAsia="Verdana" w:hAnsi="Verdana" w:cs="Verdana"/>
          <w:sz w:val="20"/>
          <w:szCs w:val="20"/>
        </w:rPr>
        <w:t xml:space="preserve"> A, et al. </w:t>
      </w:r>
      <w:r w:rsidRPr="005F6588">
        <w:rPr>
          <w:rFonts w:ascii="Verdana" w:eastAsia="Verdana" w:hAnsi="Verdana" w:cs="Verdana"/>
          <w:sz w:val="20"/>
          <w:szCs w:val="20"/>
          <w:lang w:val="en-US"/>
        </w:rPr>
        <w:t>Food additives: Sodium benzoate, potassium sorbate, azorubine, and tartrazine modify the expression of NF</w:t>
      </w:r>
      <w:r>
        <w:rPr>
          <w:rFonts w:ascii="Verdana" w:eastAsia="Verdana" w:hAnsi="Verdana" w:cs="Verdana"/>
          <w:sz w:val="20"/>
          <w:szCs w:val="20"/>
        </w:rPr>
        <w:t>κ</w:t>
      </w:r>
      <w:r w:rsidRPr="005F6588">
        <w:rPr>
          <w:rFonts w:ascii="Verdana" w:eastAsia="Verdana" w:hAnsi="Verdana" w:cs="Verdana"/>
          <w:sz w:val="20"/>
          <w:szCs w:val="20"/>
          <w:lang w:val="en-US"/>
        </w:rPr>
        <w:t>B, GADD45</w:t>
      </w:r>
      <w:r>
        <w:rPr>
          <w:rFonts w:ascii="Verdana" w:eastAsia="Verdana" w:hAnsi="Verdana" w:cs="Verdana"/>
          <w:sz w:val="20"/>
          <w:szCs w:val="20"/>
        </w:rPr>
        <w:t>α</w:t>
      </w:r>
      <w:r w:rsidRPr="005F6588">
        <w:rPr>
          <w:rFonts w:ascii="Verdana" w:eastAsia="Verdana" w:hAnsi="Verdana" w:cs="Verdana"/>
          <w:sz w:val="20"/>
          <w:szCs w:val="20"/>
          <w:lang w:val="en-US"/>
        </w:rPr>
        <w:t xml:space="preserve">, and MAPK8 genes. </w:t>
      </w:r>
      <w:r>
        <w:rPr>
          <w:rFonts w:ascii="Verdana" w:eastAsia="Verdana" w:hAnsi="Verdana" w:cs="Verdana"/>
          <w:sz w:val="20"/>
          <w:szCs w:val="20"/>
        </w:rPr>
        <w:t xml:space="preserve">Acta </w:t>
      </w:r>
      <w:proofErr w:type="spellStart"/>
      <w:r>
        <w:rPr>
          <w:rFonts w:ascii="Verdana" w:eastAsia="Verdana" w:hAnsi="Verdana" w:cs="Verdana"/>
          <w:sz w:val="20"/>
          <w:szCs w:val="20"/>
        </w:rPr>
        <w:t>Physiol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Hung</w:t>
      </w:r>
      <w:proofErr w:type="spellEnd"/>
      <w:r>
        <w:rPr>
          <w:rFonts w:ascii="Verdana" w:eastAsia="Verdana" w:hAnsi="Verdana" w:cs="Verdana"/>
          <w:sz w:val="20"/>
          <w:szCs w:val="20"/>
        </w:rPr>
        <w:t xml:space="preserve">. 2016;103(3):334–43. </w:t>
      </w:r>
    </w:p>
    <w:p w14:paraId="00000043" w14:textId="77777777" w:rsidR="004D5378" w:rsidRPr="005F6588" w:rsidRDefault="00867F33">
      <w:pPr>
        <w:numPr>
          <w:ilvl w:val="0"/>
          <w:numId w:val="5"/>
        </w:numPr>
        <w:ind w:left="0" w:hanging="2"/>
        <w:jc w:val="both"/>
        <w:rPr>
          <w:rFonts w:ascii="Verdana" w:eastAsia="Verdana" w:hAnsi="Verdana" w:cs="Verdana"/>
          <w:sz w:val="20"/>
          <w:szCs w:val="20"/>
          <w:lang w:val="en-US"/>
        </w:rPr>
      </w:pPr>
      <w:proofErr w:type="spellStart"/>
      <w:r w:rsidRPr="005F6588">
        <w:rPr>
          <w:rFonts w:ascii="Verdana" w:eastAsia="Verdana" w:hAnsi="Verdana" w:cs="Verdana"/>
          <w:sz w:val="20"/>
          <w:szCs w:val="20"/>
          <w:lang w:val="en-US"/>
        </w:rPr>
        <w:t>Dehghan</w:t>
      </w:r>
      <w:proofErr w:type="spellEnd"/>
      <w:r w:rsidRPr="005F6588">
        <w:rPr>
          <w:rFonts w:ascii="Verdana" w:eastAsia="Verdana" w:hAnsi="Verdana" w:cs="Verdana"/>
          <w:sz w:val="20"/>
          <w:szCs w:val="20"/>
          <w:lang w:val="en-US"/>
        </w:rPr>
        <w:t xml:space="preserve"> P, Mohammadi A, </w:t>
      </w:r>
      <w:proofErr w:type="spellStart"/>
      <w:r w:rsidRPr="005F6588">
        <w:rPr>
          <w:rFonts w:ascii="Verdana" w:eastAsia="Verdana" w:hAnsi="Verdana" w:cs="Verdana"/>
          <w:sz w:val="20"/>
          <w:szCs w:val="20"/>
          <w:lang w:val="en-US"/>
        </w:rPr>
        <w:t>Mohammadzadeh-Aghdash</w:t>
      </w:r>
      <w:proofErr w:type="spellEnd"/>
      <w:r w:rsidRPr="005F6588">
        <w:rPr>
          <w:rFonts w:ascii="Verdana" w:eastAsia="Verdana" w:hAnsi="Verdana" w:cs="Verdana"/>
          <w:sz w:val="20"/>
          <w:szCs w:val="20"/>
          <w:lang w:val="en-US"/>
        </w:rPr>
        <w:t xml:space="preserve"> H, </w:t>
      </w:r>
      <w:proofErr w:type="spellStart"/>
      <w:r w:rsidRPr="005F6588">
        <w:rPr>
          <w:rFonts w:ascii="Verdana" w:eastAsia="Verdana" w:hAnsi="Verdana" w:cs="Verdana"/>
          <w:sz w:val="20"/>
          <w:szCs w:val="20"/>
          <w:lang w:val="en-US"/>
        </w:rPr>
        <w:t>Ezzati</w:t>
      </w:r>
      <w:proofErr w:type="spellEnd"/>
      <w:r w:rsidRPr="005F6588">
        <w:rPr>
          <w:rFonts w:ascii="Verdana" w:eastAsia="Verdana" w:hAnsi="Verdana" w:cs="Verdana"/>
          <w:sz w:val="20"/>
          <w:szCs w:val="20"/>
          <w:lang w:val="en-US"/>
        </w:rPr>
        <w:t xml:space="preserve"> </w:t>
      </w:r>
      <w:proofErr w:type="spellStart"/>
      <w:r w:rsidRPr="005F6588">
        <w:rPr>
          <w:rFonts w:ascii="Verdana" w:eastAsia="Verdana" w:hAnsi="Verdana" w:cs="Verdana"/>
          <w:sz w:val="20"/>
          <w:szCs w:val="20"/>
          <w:lang w:val="en-US"/>
        </w:rPr>
        <w:t>Nazhad</w:t>
      </w:r>
      <w:proofErr w:type="spellEnd"/>
      <w:r w:rsidRPr="005F6588">
        <w:rPr>
          <w:rFonts w:ascii="Verdana" w:eastAsia="Verdana" w:hAnsi="Verdana" w:cs="Verdana"/>
          <w:sz w:val="20"/>
          <w:szCs w:val="20"/>
          <w:lang w:val="en-US"/>
        </w:rPr>
        <w:t xml:space="preserve"> </w:t>
      </w:r>
      <w:proofErr w:type="spellStart"/>
      <w:r w:rsidRPr="005F6588">
        <w:rPr>
          <w:rFonts w:ascii="Verdana" w:eastAsia="Verdana" w:hAnsi="Verdana" w:cs="Verdana"/>
          <w:sz w:val="20"/>
          <w:szCs w:val="20"/>
          <w:lang w:val="en-US"/>
        </w:rPr>
        <w:t>Dolatabadi</w:t>
      </w:r>
      <w:proofErr w:type="spellEnd"/>
      <w:r w:rsidRPr="005F6588">
        <w:rPr>
          <w:rFonts w:ascii="Verdana" w:eastAsia="Verdana" w:hAnsi="Verdana" w:cs="Verdana"/>
          <w:sz w:val="20"/>
          <w:szCs w:val="20"/>
          <w:lang w:val="en-US"/>
        </w:rPr>
        <w:t xml:space="preserve"> J. Pharmacokinetic and toxicological aspects of potassium sorbate food additive and its constituents. Trends Food Sci Technol [Internet]. 2018;80(July):123–30. Available from: </w:t>
      </w:r>
      <w:hyperlink r:id="rId9">
        <w:r w:rsidRPr="005F6588">
          <w:rPr>
            <w:rFonts w:ascii="Verdana" w:eastAsia="Verdana" w:hAnsi="Verdana" w:cs="Verdana"/>
            <w:color w:val="1155CC"/>
            <w:sz w:val="20"/>
            <w:szCs w:val="20"/>
            <w:u w:val="single"/>
            <w:lang w:val="en-US"/>
          </w:rPr>
          <w:t>https://doi.org/10.1016/j.tifs.2018.07.012</w:t>
        </w:r>
      </w:hyperlink>
    </w:p>
    <w:p w14:paraId="00000044" w14:textId="77777777" w:rsidR="004D5378" w:rsidRDefault="00867F33">
      <w:pPr>
        <w:numPr>
          <w:ilvl w:val="0"/>
          <w:numId w:val="5"/>
        </w:numPr>
        <w:ind w:left="0" w:hanging="2"/>
        <w:jc w:val="both"/>
        <w:rPr>
          <w:rFonts w:ascii="Verdana" w:eastAsia="Verdana" w:hAnsi="Verdana" w:cs="Verdana"/>
          <w:sz w:val="20"/>
          <w:szCs w:val="20"/>
        </w:rPr>
      </w:pPr>
      <w:proofErr w:type="spellStart"/>
      <w:r>
        <w:rPr>
          <w:rFonts w:ascii="Verdana" w:eastAsia="Verdana" w:hAnsi="Verdana" w:cs="Verdana"/>
          <w:sz w:val="20"/>
          <w:szCs w:val="20"/>
        </w:rPr>
        <w:t>Hrncirova</w:t>
      </w:r>
      <w:proofErr w:type="spellEnd"/>
      <w:r>
        <w:rPr>
          <w:rFonts w:ascii="Verdana" w:eastAsia="Verdana" w:hAnsi="Verdana" w:cs="Verdana"/>
          <w:sz w:val="20"/>
          <w:szCs w:val="20"/>
        </w:rPr>
        <w:t xml:space="preserve"> L, </w:t>
      </w:r>
      <w:proofErr w:type="spellStart"/>
      <w:r>
        <w:rPr>
          <w:rFonts w:ascii="Verdana" w:eastAsia="Verdana" w:hAnsi="Verdana" w:cs="Verdana"/>
          <w:sz w:val="20"/>
          <w:szCs w:val="20"/>
        </w:rPr>
        <w:t>Hudcovic</w:t>
      </w:r>
      <w:proofErr w:type="spellEnd"/>
      <w:r>
        <w:rPr>
          <w:rFonts w:ascii="Verdana" w:eastAsia="Verdana" w:hAnsi="Verdana" w:cs="Verdana"/>
          <w:sz w:val="20"/>
          <w:szCs w:val="20"/>
        </w:rPr>
        <w:t xml:space="preserve"> T, </w:t>
      </w:r>
      <w:proofErr w:type="spellStart"/>
      <w:r>
        <w:rPr>
          <w:rFonts w:ascii="Verdana" w:eastAsia="Verdana" w:hAnsi="Verdana" w:cs="Verdana"/>
          <w:sz w:val="20"/>
          <w:szCs w:val="20"/>
        </w:rPr>
        <w:t>Sukova</w:t>
      </w:r>
      <w:proofErr w:type="spellEnd"/>
      <w:r>
        <w:rPr>
          <w:rFonts w:ascii="Verdana" w:eastAsia="Verdana" w:hAnsi="Verdana" w:cs="Verdana"/>
          <w:sz w:val="20"/>
          <w:szCs w:val="20"/>
        </w:rPr>
        <w:t xml:space="preserve"> E, </w:t>
      </w:r>
      <w:proofErr w:type="spellStart"/>
      <w:r>
        <w:rPr>
          <w:rFonts w:ascii="Verdana" w:eastAsia="Verdana" w:hAnsi="Verdana" w:cs="Verdana"/>
          <w:sz w:val="20"/>
          <w:szCs w:val="20"/>
        </w:rPr>
        <w:t>Machova</w:t>
      </w:r>
      <w:proofErr w:type="spellEnd"/>
      <w:r>
        <w:rPr>
          <w:rFonts w:ascii="Verdana" w:eastAsia="Verdana" w:hAnsi="Verdana" w:cs="Verdana"/>
          <w:sz w:val="20"/>
          <w:szCs w:val="20"/>
        </w:rPr>
        <w:t xml:space="preserve"> V, </w:t>
      </w:r>
      <w:proofErr w:type="spellStart"/>
      <w:r>
        <w:rPr>
          <w:rFonts w:ascii="Verdana" w:eastAsia="Verdana" w:hAnsi="Verdana" w:cs="Verdana"/>
          <w:sz w:val="20"/>
          <w:szCs w:val="20"/>
        </w:rPr>
        <w:t>Trckova</w:t>
      </w:r>
      <w:proofErr w:type="spellEnd"/>
      <w:r>
        <w:rPr>
          <w:rFonts w:ascii="Verdana" w:eastAsia="Verdana" w:hAnsi="Verdana" w:cs="Verdana"/>
          <w:sz w:val="20"/>
          <w:szCs w:val="20"/>
        </w:rPr>
        <w:t xml:space="preserve"> E, </w:t>
      </w:r>
      <w:proofErr w:type="spellStart"/>
      <w:r>
        <w:rPr>
          <w:rFonts w:ascii="Verdana" w:eastAsia="Verdana" w:hAnsi="Verdana" w:cs="Verdana"/>
          <w:sz w:val="20"/>
          <w:szCs w:val="20"/>
        </w:rPr>
        <w:t>Krejsek</w:t>
      </w:r>
      <w:proofErr w:type="spellEnd"/>
      <w:r>
        <w:rPr>
          <w:rFonts w:ascii="Verdana" w:eastAsia="Verdana" w:hAnsi="Verdana" w:cs="Verdana"/>
          <w:sz w:val="20"/>
          <w:szCs w:val="20"/>
        </w:rPr>
        <w:t xml:space="preserve"> J, et al. </w:t>
      </w:r>
      <w:r w:rsidRPr="005F6588">
        <w:rPr>
          <w:rFonts w:ascii="Verdana" w:eastAsia="Verdana" w:hAnsi="Verdana" w:cs="Verdana"/>
          <w:sz w:val="20"/>
          <w:szCs w:val="20"/>
          <w:lang w:val="en-US"/>
        </w:rPr>
        <w:t xml:space="preserve">Human gut microbes are susceptible to antimicrobial food additives in vitro. </w:t>
      </w:r>
      <w:r>
        <w:rPr>
          <w:rFonts w:ascii="Verdana" w:eastAsia="Verdana" w:hAnsi="Verdana" w:cs="Verdana"/>
          <w:sz w:val="20"/>
          <w:szCs w:val="20"/>
        </w:rPr>
        <w:t xml:space="preserve">Folia </w:t>
      </w:r>
      <w:proofErr w:type="spellStart"/>
      <w:r>
        <w:rPr>
          <w:rFonts w:ascii="Verdana" w:eastAsia="Verdana" w:hAnsi="Verdana" w:cs="Verdana"/>
          <w:sz w:val="20"/>
          <w:szCs w:val="20"/>
        </w:rPr>
        <w:t>Microbiol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Praha</w:t>
      </w:r>
      <w:proofErr w:type="spellEnd"/>
      <w:r>
        <w:rPr>
          <w:rFonts w:ascii="Verdana" w:eastAsia="Verdana" w:hAnsi="Verdana" w:cs="Verdana"/>
          <w:sz w:val="20"/>
          <w:szCs w:val="20"/>
        </w:rPr>
        <w:t xml:space="preserve">). 2019;64(4):497–508.  </w:t>
      </w:r>
    </w:p>
    <w:p w14:paraId="00000045" w14:textId="77777777" w:rsidR="004D5378" w:rsidRPr="002F60FA" w:rsidRDefault="00867F33">
      <w:pPr>
        <w:numPr>
          <w:ilvl w:val="0"/>
          <w:numId w:val="5"/>
        </w:numPr>
        <w:ind w:left="0" w:hanging="2"/>
        <w:jc w:val="both"/>
        <w:rPr>
          <w:rFonts w:ascii="Verdana" w:eastAsia="Verdana" w:hAnsi="Verdana" w:cs="Verdana"/>
          <w:sz w:val="20"/>
          <w:szCs w:val="20"/>
          <w:lang w:val="en-US"/>
        </w:rPr>
      </w:pPr>
      <w:r w:rsidRPr="002F60FA">
        <w:rPr>
          <w:rFonts w:ascii="Verdana" w:eastAsia="Verdana" w:hAnsi="Verdana" w:cs="Verdana"/>
          <w:sz w:val="20"/>
          <w:szCs w:val="20"/>
          <w:lang w:val="en-US"/>
        </w:rPr>
        <w:t>Radu-</w:t>
      </w:r>
      <w:proofErr w:type="spellStart"/>
      <w:r w:rsidRPr="002F60FA">
        <w:rPr>
          <w:rFonts w:ascii="Verdana" w:eastAsia="Verdana" w:hAnsi="Verdana" w:cs="Verdana"/>
          <w:sz w:val="20"/>
          <w:szCs w:val="20"/>
          <w:lang w:val="en-US"/>
        </w:rPr>
        <w:t>rusu</w:t>
      </w:r>
      <w:proofErr w:type="spellEnd"/>
      <w:r w:rsidRPr="002F60FA">
        <w:rPr>
          <w:rFonts w:ascii="Verdana" w:eastAsia="Verdana" w:hAnsi="Verdana" w:cs="Verdana"/>
          <w:sz w:val="20"/>
          <w:szCs w:val="20"/>
          <w:lang w:val="en-US"/>
        </w:rPr>
        <w:t xml:space="preserve"> CG, Pop IM, </w:t>
      </w:r>
      <w:proofErr w:type="spellStart"/>
      <w:r w:rsidRPr="002F60FA">
        <w:rPr>
          <w:rFonts w:ascii="Verdana" w:eastAsia="Verdana" w:hAnsi="Verdana" w:cs="Verdana"/>
          <w:sz w:val="20"/>
          <w:szCs w:val="20"/>
          <w:lang w:val="en-US"/>
        </w:rPr>
        <w:t>Frunza</w:t>
      </w:r>
      <w:proofErr w:type="spellEnd"/>
      <w:r w:rsidRPr="002F60FA">
        <w:rPr>
          <w:rFonts w:ascii="Verdana" w:eastAsia="Verdana" w:hAnsi="Verdana" w:cs="Verdana"/>
          <w:sz w:val="20"/>
          <w:szCs w:val="20"/>
          <w:lang w:val="en-US"/>
        </w:rPr>
        <w:t xml:space="preserve"> G, </w:t>
      </w:r>
      <w:proofErr w:type="spellStart"/>
      <w:r w:rsidRPr="002F60FA">
        <w:rPr>
          <w:rFonts w:ascii="Verdana" w:eastAsia="Verdana" w:hAnsi="Verdana" w:cs="Verdana"/>
          <w:sz w:val="20"/>
          <w:szCs w:val="20"/>
          <w:lang w:val="en-US"/>
        </w:rPr>
        <w:t>Simeanu</w:t>
      </w:r>
      <w:proofErr w:type="spellEnd"/>
      <w:r w:rsidRPr="002F60FA">
        <w:rPr>
          <w:rFonts w:ascii="Verdana" w:eastAsia="Verdana" w:hAnsi="Verdana" w:cs="Verdana"/>
          <w:sz w:val="20"/>
          <w:szCs w:val="20"/>
          <w:lang w:val="en-US"/>
        </w:rPr>
        <w:t xml:space="preserve"> D. ON THE OCCURRENCE OF POTASSIUM SORBATE </w:t>
      </w:r>
      <w:proofErr w:type="gramStart"/>
      <w:r w:rsidRPr="002F60FA">
        <w:rPr>
          <w:rFonts w:ascii="Verdana" w:eastAsia="Verdana" w:hAnsi="Verdana" w:cs="Verdana"/>
          <w:sz w:val="20"/>
          <w:szCs w:val="20"/>
          <w:lang w:val="en-US"/>
        </w:rPr>
        <w:t>( E</w:t>
      </w:r>
      <w:proofErr w:type="gramEnd"/>
      <w:r w:rsidRPr="002F60FA">
        <w:rPr>
          <w:rFonts w:ascii="Verdana" w:eastAsia="Verdana" w:hAnsi="Verdana" w:cs="Verdana"/>
          <w:sz w:val="20"/>
          <w:szCs w:val="20"/>
          <w:lang w:val="en-US"/>
        </w:rPr>
        <w:t xml:space="preserve">202 ) IN CERTAIN FOOD AND BEVERAGE PRODUCTS. </w:t>
      </w:r>
      <w:proofErr w:type="gramStart"/>
      <w:r w:rsidRPr="002F60FA">
        <w:rPr>
          <w:rFonts w:ascii="Verdana" w:eastAsia="Verdana" w:hAnsi="Verdana" w:cs="Verdana"/>
          <w:sz w:val="20"/>
          <w:szCs w:val="20"/>
          <w:lang w:val="en-US"/>
        </w:rPr>
        <w:t>2019;LXII</w:t>
      </w:r>
      <w:proofErr w:type="gramEnd"/>
      <w:r w:rsidRPr="002F60FA">
        <w:rPr>
          <w:rFonts w:ascii="Verdana" w:eastAsia="Verdana" w:hAnsi="Verdana" w:cs="Verdana"/>
          <w:sz w:val="20"/>
          <w:szCs w:val="20"/>
          <w:lang w:val="en-US"/>
        </w:rPr>
        <w:t xml:space="preserve">(2):259–64. </w:t>
      </w:r>
      <w:proofErr w:type="spellStart"/>
      <w:r w:rsidRPr="002F60FA">
        <w:rPr>
          <w:rFonts w:ascii="Verdana" w:eastAsia="Verdana" w:hAnsi="Verdana" w:cs="Verdana"/>
          <w:sz w:val="20"/>
          <w:szCs w:val="20"/>
          <w:lang w:val="en-US"/>
        </w:rPr>
        <w:t>doi</w:t>
      </w:r>
      <w:proofErr w:type="spellEnd"/>
      <w:r w:rsidRPr="002F60FA">
        <w:rPr>
          <w:rFonts w:ascii="Verdana" w:eastAsia="Verdana" w:hAnsi="Verdana" w:cs="Verdana"/>
          <w:sz w:val="20"/>
          <w:szCs w:val="20"/>
          <w:lang w:val="en-US"/>
        </w:rPr>
        <w:t xml:space="preserve">: </w:t>
      </w:r>
      <w:hyperlink r:id="rId10">
        <w:r w:rsidRPr="002F60FA">
          <w:rPr>
            <w:rFonts w:ascii="Verdana" w:eastAsia="Verdana" w:hAnsi="Verdana" w:cs="Verdana"/>
            <w:color w:val="1155CC"/>
            <w:sz w:val="20"/>
            <w:szCs w:val="20"/>
            <w:u w:val="single"/>
            <w:lang w:val="en-US"/>
          </w:rPr>
          <w:t>http://animalsciencejournal.usamv.ro/index.php/scientific-papers/past-issues?id=661</w:t>
        </w:r>
      </w:hyperlink>
      <w:r w:rsidRPr="002F60FA">
        <w:rPr>
          <w:rFonts w:ascii="Verdana" w:eastAsia="Verdana" w:hAnsi="Verdana" w:cs="Verdana"/>
          <w:sz w:val="20"/>
          <w:szCs w:val="20"/>
          <w:lang w:val="en-US"/>
        </w:rPr>
        <w:t xml:space="preserve"> </w:t>
      </w:r>
    </w:p>
    <w:p w14:paraId="00000046" w14:textId="77777777" w:rsidR="004D5378" w:rsidRDefault="00867F33">
      <w:pPr>
        <w:numPr>
          <w:ilvl w:val="0"/>
          <w:numId w:val="5"/>
        </w:numPr>
        <w:ind w:left="0" w:hanging="2"/>
        <w:jc w:val="both"/>
        <w:rPr>
          <w:rFonts w:ascii="Verdana" w:eastAsia="Verdana" w:hAnsi="Verdana" w:cs="Verdana"/>
          <w:sz w:val="20"/>
          <w:szCs w:val="20"/>
        </w:rPr>
      </w:pPr>
      <w:r>
        <w:rPr>
          <w:rFonts w:ascii="Verdana" w:eastAsia="Verdana" w:hAnsi="Verdana" w:cs="Verdana"/>
          <w:sz w:val="20"/>
          <w:szCs w:val="20"/>
        </w:rPr>
        <w:lastRenderedPageBreak/>
        <w:t xml:space="preserve">ALIMENTARIOS, S. A. (1996). Programa conjunto FAO/OMS sobre normas alimentarias Comisión del Codex </w:t>
      </w:r>
      <w:proofErr w:type="spellStart"/>
      <w:r>
        <w:rPr>
          <w:rFonts w:ascii="Verdana" w:eastAsia="Verdana" w:hAnsi="Verdana" w:cs="Verdana"/>
          <w:sz w:val="20"/>
          <w:szCs w:val="20"/>
        </w:rPr>
        <w:t>Alimentarius</w:t>
      </w:r>
      <w:proofErr w:type="spellEnd"/>
      <w:r>
        <w:rPr>
          <w:rFonts w:ascii="Verdana" w:eastAsia="Verdana" w:hAnsi="Verdana" w:cs="Verdana"/>
          <w:sz w:val="20"/>
          <w:szCs w:val="20"/>
        </w:rPr>
        <w:t xml:space="preserve">. </w:t>
      </w:r>
      <w:hyperlink r:id="rId11">
        <w:r>
          <w:rPr>
            <w:rFonts w:ascii="Verdana" w:eastAsia="Verdana" w:hAnsi="Verdana" w:cs="Verdana"/>
            <w:color w:val="1155CC"/>
            <w:sz w:val="20"/>
            <w:szCs w:val="20"/>
            <w:u w:val="single"/>
          </w:rPr>
          <w:t>https://www.google.com/url?client=internal-element-cse&amp;cx=018170620143701104933:i-zresgmxec&amp;q=https://www.fao.org/fao-who-codexalimentarius/sh-proxy/en/%3Flnk%3D1%26url%3Dhttps%25253A%25252F%25252Fworkspace.fao.org%25252Fsites%25252Fcodex%25252FStandards%25252FCXS%252B192-1995%25252FCXS_192s.pdf&amp;sa=U&amp;ved=2ahUKEwjYvseTwsD0AhXmQjABHZt2CjUQFnoECAYQAQ&amp;usg=AOvVaw3TRmAgSZTBkOFSR0E0YG7w</w:t>
        </w:r>
      </w:hyperlink>
      <w:r>
        <w:rPr>
          <w:rFonts w:ascii="Verdana" w:eastAsia="Verdana" w:hAnsi="Verdana" w:cs="Verdana"/>
          <w:sz w:val="20"/>
          <w:szCs w:val="20"/>
        </w:rPr>
        <w:t xml:space="preserve"> </w:t>
      </w:r>
    </w:p>
    <w:p w14:paraId="00000047" w14:textId="77777777" w:rsidR="004D5378" w:rsidRDefault="00867F33">
      <w:pPr>
        <w:numPr>
          <w:ilvl w:val="0"/>
          <w:numId w:val="5"/>
        </w:numPr>
        <w:ind w:left="0" w:hanging="2"/>
        <w:jc w:val="both"/>
        <w:rPr>
          <w:rFonts w:ascii="Verdana" w:eastAsia="Verdana" w:hAnsi="Verdana" w:cs="Verdana"/>
          <w:sz w:val="20"/>
          <w:szCs w:val="20"/>
        </w:rPr>
      </w:pPr>
      <w:proofErr w:type="spellStart"/>
      <w:r w:rsidRPr="002F60FA">
        <w:rPr>
          <w:rFonts w:ascii="Verdana" w:eastAsia="Verdana" w:hAnsi="Verdana" w:cs="Verdana"/>
          <w:sz w:val="20"/>
          <w:szCs w:val="20"/>
          <w:lang w:val="en-US"/>
        </w:rPr>
        <w:t>Dutau</w:t>
      </w:r>
      <w:proofErr w:type="spellEnd"/>
      <w:r w:rsidRPr="002F60FA">
        <w:rPr>
          <w:rFonts w:ascii="Verdana" w:eastAsia="Verdana" w:hAnsi="Verdana" w:cs="Verdana"/>
          <w:sz w:val="20"/>
          <w:szCs w:val="20"/>
          <w:lang w:val="en-US"/>
        </w:rPr>
        <w:t xml:space="preserve"> G, </w:t>
      </w:r>
      <w:proofErr w:type="spellStart"/>
      <w:r w:rsidRPr="002F60FA">
        <w:rPr>
          <w:rFonts w:ascii="Verdana" w:eastAsia="Verdana" w:hAnsi="Verdana" w:cs="Verdana"/>
          <w:sz w:val="20"/>
          <w:szCs w:val="20"/>
          <w:lang w:val="en-US"/>
        </w:rPr>
        <w:t>Rancé</w:t>
      </w:r>
      <w:proofErr w:type="spellEnd"/>
      <w:r w:rsidRPr="002F60FA">
        <w:rPr>
          <w:rFonts w:ascii="Verdana" w:eastAsia="Verdana" w:hAnsi="Verdana" w:cs="Verdana"/>
          <w:sz w:val="20"/>
          <w:szCs w:val="20"/>
          <w:lang w:val="en-US"/>
        </w:rPr>
        <w:t xml:space="preserve"> F, </w:t>
      </w:r>
      <w:proofErr w:type="spellStart"/>
      <w:r w:rsidRPr="002F60FA">
        <w:rPr>
          <w:rFonts w:ascii="Verdana" w:eastAsia="Verdana" w:hAnsi="Verdana" w:cs="Verdana"/>
          <w:sz w:val="20"/>
          <w:szCs w:val="20"/>
          <w:lang w:val="en-US"/>
        </w:rPr>
        <w:t>Fejji</w:t>
      </w:r>
      <w:proofErr w:type="spellEnd"/>
      <w:r w:rsidRPr="002F60FA">
        <w:rPr>
          <w:rFonts w:ascii="Verdana" w:eastAsia="Verdana" w:hAnsi="Verdana" w:cs="Verdana"/>
          <w:sz w:val="20"/>
          <w:szCs w:val="20"/>
          <w:lang w:val="en-US"/>
        </w:rPr>
        <w:t xml:space="preserve"> S, </w:t>
      </w:r>
      <w:proofErr w:type="spellStart"/>
      <w:r w:rsidRPr="002F60FA">
        <w:rPr>
          <w:rFonts w:ascii="Verdana" w:eastAsia="Verdana" w:hAnsi="Verdana" w:cs="Verdana"/>
          <w:sz w:val="20"/>
          <w:szCs w:val="20"/>
          <w:lang w:val="en-US"/>
        </w:rPr>
        <w:t>Juchet</w:t>
      </w:r>
      <w:proofErr w:type="spellEnd"/>
      <w:r w:rsidRPr="002F60FA">
        <w:rPr>
          <w:rFonts w:ascii="Verdana" w:eastAsia="Verdana" w:hAnsi="Verdana" w:cs="Verdana"/>
          <w:sz w:val="20"/>
          <w:szCs w:val="20"/>
          <w:lang w:val="en-US"/>
        </w:rPr>
        <w:t xml:space="preserve"> A, </w:t>
      </w:r>
      <w:proofErr w:type="spellStart"/>
      <w:r w:rsidRPr="002F60FA">
        <w:rPr>
          <w:rFonts w:ascii="Verdana" w:eastAsia="Verdana" w:hAnsi="Verdana" w:cs="Verdana"/>
          <w:sz w:val="20"/>
          <w:szCs w:val="20"/>
          <w:lang w:val="en-US"/>
        </w:rPr>
        <w:t>Brémont</w:t>
      </w:r>
      <w:proofErr w:type="spellEnd"/>
      <w:r w:rsidRPr="002F60FA">
        <w:rPr>
          <w:rFonts w:ascii="Verdana" w:eastAsia="Verdana" w:hAnsi="Verdana" w:cs="Verdana"/>
          <w:sz w:val="20"/>
          <w:szCs w:val="20"/>
          <w:lang w:val="en-US"/>
        </w:rPr>
        <w:t xml:space="preserve"> F, </w:t>
      </w:r>
      <w:proofErr w:type="spellStart"/>
      <w:r w:rsidRPr="002F60FA">
        <w:rPr>
          <w:rFonts w:ascii="Verdana" w:eastAsia="Verdana" w:hAnsi="Verdana" w:cs="Verdana"/>
          <w:sz w:val="20"/>
          <w:szCs w:val="20"/>
          <w:lang w:val="en-US"/>
        </w:rPr>
        <w:t>Nouilhan</w:t>
      </w:r>
      <w:proofErr w:type="spellEnd"/>
      <w:r w:rsidRPr="002F60FA">
        <w:rPr>
          <w:rFonts w:ascii="Verdana" w:eastAsia="Verdana" w:hAnsi="Verdana" w:cs="Verdana"/>
          <w:sz w:val="20"/>
          <w:szCs w:val="20"/>
          <w:lang w:val="en-US"/>
        </w:rPr>
        <w:t xml:space="preserve"> P. Intolerance Aux </w:t>
      </w:r>
      <w:proofErr w:type="spellStart"/>
      <w:r w:rsidRPr="002F60FA">
        <w:rPr>
          <w:rFonts w:ascii="Verdana" w:eastAsia="Verdana" w:hAnsi="Verdana" w:cs="Verdana"/>
          <w:sz w:val="20"/>
          <w:szCs w:val="20"/>
          <w:lang w:val="en-US"/>
        </w:rPr>
        <w:t>Additifs</w:t>
      </w:r>
      <w:proofErr w:type="spellEnd"/>
      <w:r w:rsidRPr="002F60FA">
        <w:rPr>
          <w:rFonts w:ascii="Verdana" w:eastAsia="Verdana" w:hAnsi="Verdana" w:cs="Verdana"/>
          <w:sz w:val="20"/>
          <w:szCs w:val="20"/>
          <w:lang w:val="en-US"/>
        </w:rPr>
        <w:t xml:space="preserve"> </w:t>
      </w:r>
      <w:proofErr w:type="spellStart"/>
      <w:r w:rsidRPr="002F60FA">
        <w:rPr>
          <w:rFonts w:ascii="Verdana" w:eastAsia="Verdana" w:hAnsi="Verdana" w:cs="Verdana"/>
          <w:sz w:val="20"/>
          <w:szCs w:val="20"/>
          <w:lang w:val="en-US"/>
        </w:rPr>
        <w:t>Alimentaires</w:t>
      </w:r>
      <w:proofErr w:type="spellEnd"/>
      <w:r w:rsidRPr="002F60FA">
        <w:rPr>
          <w:rFonts w:ascii="Verdana" w:eastAsia="Verdana" w:hAnsi="Verdana" w:cs="Verdana"/>
          <w:sz w:val="20"/>
          <w:szCs w:val="20"/>
          <w:lang w:val="en-US"/>
        </w:rPr>
        <w:t xml:space="preserve"> Chez L’Enfant: </w:t>
      </w:r>
      <w:proofErr w:type="spellStart"/>
      <w:r w:rsidRPr="002F60FA">
        <w:rPr>
          <w:rFonts w:ascii="Verdana" w:eastAsia="Verdana" w:hAnsi="Verdana" w:cs="Verdana"/>
          <w:sz w:val="20"/>
          <w:szCs w:val="20"/>
          <w:lang w:val="en-US"/>
        </w:rPr>
        <w:t>Mythe</w:t>
      </w:r>
      <w:proofErr w:type="spellEnd"/>
      <w:r w:rsidRPr="002F60FA">
        <w:rPr>
          <w:rFonts w:ascii="Verdana" w:eastAsia="Verdana" w:hAnsi="Verdana" w:cs="Verdana"/>
          <w:sz w:val="20"/>
          <w:szCs w:val="20"/>
          <w:lang w:val="en-US"/>
        </w:rPr>
        <w:t xml:space="preserve"> </w:t>
      </w:r>
      <w:proofErr w:type="spellStart"/>
      <w:r w:rsidRPr="002F60FA">
        <w:rPr>
          <w:rFonts w:ascii="Verdana" w:eastAsia="Verdana" w:hAnsi="Verdana" w:cs="Verdana"/>
          <w:sz w:val="20"/>
          <w:szCs w:val="20"/>
          <w:lang w:val="en-US"/>
        </w:rPr>
        <w:t>Ou</w:t>
      </w:r>
      <w:proofErr w:type="spellEnd"/>
      <w:r w:rsidRPr="002F60FA">
        <w:rPr>
          <w:rFonts w:ascii="Verdana" w:eastAsia="Verdana" w:hAnsi="Verdana" w:cs="Verdana"/>
          <w:sz w:val="20"/>
          <w:szCs w:val="20"/>
          <w:lang w:val="en-US"/>
        </w:rPr>
        <w:t xml:space="preserve"> </w:t>
      </w:r>
      <w:proofErr w:type="spellStart"/>
      <w:r w:rsidRPr="002F60FA">
        <w:rPr>
          <w:rFonts w:ascii="Verdana" w:eastAsia="Verdana" w:hAnsi="Verdana" w:cs="Verdana"/>
          <w:sz w:val="20"/>
          <w:szCs w:val="20"/>
          <w:lang w:val="en-US"/>
        </w:rPr>
        <w:t>Realite</w:t>
      </w:r>
      <w:proofErr w:type="spellEnd"/>
      <w:r w:rsidRPr="002F60FA">
        <w:rPr>
          <w:rFonts w:ascii="Verdana" w:eastAsia="Verdana" w:hAnsi="Verdana" w:cs="Verdana"/>
          <w:sz w:val="20"/>
          <w:szCs w:val="20"/>
          <w:lang w:val="en-US"/>
        </w:rPr>
        <w:t xml:space="preserve">? </w:t>
      </w:r>
      <w:proofErr w:type="spellStart"/>
      <w:r>
        <w:rPr>
          <w:rFonts w:ascii="Verdana" w:eastAsia="Verdana" w:hAnsi="Verdana" w:cs="Verdana"/>
          <w:sz w:val="20"/>
          <w:szCs w:val="20"/>
        </w:rPr>
        <w:t>Rev</w:t>
      </w:r>
      <w:proofErr w:type="spellEnd"/>
      <w:r>
        <w:rPr>
          <w:rFonts w:ascii="Verdana" w:eastAsia="Verdana" w:hAnsi="Verdana" w:cs="Verdana"/>
          <w:sz w:val="20"/>
          <w:szCs w:val="20"/>
        </w:rPr>
        <w:t xml:space="preserve"> Fr </w:t>
      </w:r>
      <w:proofErr w:type="spellStart"/>
      <w:r>
        <w:rPr>
          <w:rFonts w:ascii="Verdana" w:eastAsia="Verdana" w:hAnsi="Verdana" w:cs="Verdana"/>
          <w:sz w:val="20"/>
          <w:szCs w:val="20"/>
        </w:rPr>
        <w:t>d’Allergologie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d’Immunologie</w:t>
      </w:r>
      <w:proofErr w:type="spellEnd"/>
      <w:r>
        <w:rPr>
          <w:rFonts w:ascii="Verdana" w:eastAsia="Verdana" w:hAnsi="Verdana" w:cs="Verdana"/>
          <w:sz w:val="20"/>
          <w:szCs w:val="20"/>
        </w:rPr>
        <w:t xml:space="preserve"> Clin. 1996;36(2):129–42. </w:t>
      </w:r>
    </w:p>
    <w:p w14:paraId="00000048" w14:textId="77777777" w:rsidR="004D5378" w:rsidRPr="005F6588" w:rsidRDefault="00867F33">
      <w:pPr>
        <w:numPr>
          <w:ilvl w:val="0"/>
          <w:numId w:val="5"/>
        </w:numPr>
        <w:ind w:left="0" w:hanging="2"/>
        <w:jc w:val="both"/>
        <w:rPr>
          <w:rFonts w:ascii="Verdana" w:eastAsia="Verdana" w:hAnsi="Verdana" w:cs="Verdana"/>
          <w:sz w:val="20"/>
          <w:szCs w:val="20"/>
          <w:lang w:val="en-US"/>
        </w:rPr>
      </w:pPr>
      <w:proofErr w:type="spellStart"/>
      <w:r w:rsidRPr="005F6588">
        <w:rPr>
          <w:rFonts w:ascii="Verdana" w:eastAsia="Verdana" w:hAnsi="Verdana" w:cs="Verdana"/>
          <w:sz w:val="20"/>
          <w:szCs w:val="20"/>
          <w:lang w:val="en-US"/>
        </w:rPr>
        <w:t>Bourrier</w:t>
      </w:r>
      <w:proofErr w:type="spellEnd"/>
      <w:r w:rsidRPr="005F6588">
        <w:rPr>
          <w:rFonts w:ascii="Verdana" w:eastAsia="Verdana" w:hAnsi="Verdana" w:cs="Verdana"/>
          <w:sz w:val="20"/>
          <w:szCs w:val="20"/>
          <w:lang w:val="en-US"/>
        </w:rPr>
        <w:t xml:space="preserve"> T. Intolerance and allergy to colorants and additives. Rev Fr </w:t>
      </w:r>
      <w:proofErr w:type="spellStart"/>
      <w:r w:rsidRPr="005F6588">
        <w:rPr>
          <w:rFonts w:ascii="Verdana" w:eastAsia="Verdana" w:hAnsi="Verdana" w:cs="Verdana"/>
          <w:sz w:val="20"/>
          <w:szCs w:val="20"/>
          <w:lang w:val="en-US"/>
        </w:rPr>
        <w:t>d’Allergologie</w:t>
      </w:r>
      <w:proofErr w:type="spellEnd"/>
      <w:r w:rsidRPr="005F6588">
        <w:rPr>
          <w:rFonts w:ascii="Verdana" w:eastAsia="Verdana" w:hAnsi="Verdana" w:cs="Verdana"/>
          <w:sz w:val="20"/>
          <w:szCs w:val="20"/>
          <w:lang w:val="en-US"/>
        </w:rPr>
        <w:t xml:space="preserve"> </w:t>
      </w:r>
      <w:proofErr w:type="spellStart"/>
      <w:r w:rsidRPr="005F6588">
        <w:rPr>
          <w:rFonts w:ascii="Verdana" w:eastAsia="Verdana" w:hAnsi="Verdana" w:cs="Verdana"/>
          <w:sz w:val="20"/>
          <w:szCs w:val="20"/>
          <w:lang w:val="en-US"/>
        </w:rPr>
        <w:t>d’Immunologie</w:t>
      </w:r>
      <w:proofErr w:type="spellEnd"/>
      <w:r w:rsidRPr="005F6588">
        <w:rPr>
          <w:rFonts w:ascii="Verdana" w:eastAsia="Verdana" w:hAnsi="Verdana" w:cs="Verdana"/>
          <w:sz w:val="20"/>
          <w:szCs w:val="20"/>
          <w:lang w:val="en-US"/>
        </w:rPr>
        <w:t xml:space="preserve"> Clin. 2006;46(2):68–79. </w:t>
      </w:r>
    </w:p>
    <w:p w14:paraId="00000049" w14:textId="77777777" w:rsidR="004D5378" w:rsidRDefault="00867F33">
      <w:pPr>
        <w:numPr>
          <w:ilvl w:val="0"/>
          <w:numId w:val="5"/>
        </w:numPr>
        <w:ind w:left="0" w:hanging="2"/>
        <w:jc w:val="both"/>
        <w:rPr>
          <w:rFonts w:ascii="Verdana" w:eastAsia="Verdana" w:hAnsi="Verdana" w:cs="Verdana"/>
          <w:sz w:val="20"/>
          <w:szCs w:val="20"/>
        </w:rPr>
      </w:pPr>
      <w:r w:rsidRPr="005F6588">
        <w:rPr>
          <w:rFonts w:ascii="Verdana" w:eastAsia="Verdana" w:hAnsi="Verdana" w:cs="Verdana"/>
          <w:sz w:val="20"/>
          <w:szCs w:val="20"/>
          <w:lang w:val="en-US"/>
        </w:rPr>
        <w:t>Velázquez-</w:t>
      </w:r>
      <w:proofErr w:type="spellStart"/>
      <w:r w:rsidRPr="005F6588">
        <w:rPr>
          <w:rFonts w:ascii="Verdana" w:eastAsia="Verdana" w:hAnsi="Verdana" w:cs="Verdana"/>
          <w:sz w:val="20"/>
          <w:szCs w:val="20"/>
          <w:lang w:val="en-US"/>
        </w:rPr>
        <w:t>Sámano</w:t>
      </w:r>
      <w:proofErr w:type="spellEnd"/>
      <w:r w:rsidRPr="005F6588">
        <w:rPr>
          <w:rFonts w:ascii="Verdana" w:eastAsia="Verdana" w:hAnsi="Verdana" w:cs="Verdana"/>
          <w:sz w:val="20"/>
          <w:szCs w:val="20"/>
          <w:lang w:val="en-US"/>
        </w:rPr>
        <w:t xml:space="preserve"> G, </w:t>
      </w:r>
      <w:proofErr w:type="spellStart"/>
      <w:r w:rsidRPr="005F6588">
        <w:rPr>
          <w:rFonts w:ascii="Verdana" w:eastAsia="Verdana" w:hAnsi="Verdana" w:cs="Verdana"/>
          <w:sz w:val="20"/>
          <w:szCs w:val="20"/>
          <w:lang w:val="en-US"/>
        </w:rPr>
        <w:t>Collado-Chagoya</w:t>
      </w:r>
      <w:proofErr w:type="spellEnd"/>
      <w:r w:rsidRPr="005F6588">
        <w:rPr>
          <w:rFonts w:ascii="Verdana" w:eastAsia="Verdana" w:hAnsi="Verdana" w:cs="Verdana"/>
          <w:sz w:val="20"/>
          <w:szCs w:val="20"/>
          <w:lang w:val="en-US"/>
        </w:rPr>
        <w:t xml:space="preserve"> R, Cruz-Pantoja RA, Velasco-Medina AA, Rosales-Guevara J. Hypersensitivity reactions to food additives. </w:t>
      </w:r>
      <w:proofErr w:type="spellStart"/>
      <w:r>
        <w:rPr>
          <w:rFonts w:ascii="Verdana" w:eastAsia="Verdana" w:hAnsi="Verdana" w:cs="Verdana"/>
          <w:sz w:val="20"/>
          <w:szCs w:val="20"/>
        </w:rPr>
        <w:t>Rev</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Alerg</w:t>
      </w:r>
      <w:proofErr w:type="spellEnd"/>
      <w:r>
        <w:rPr>
          <w:rFonts w:ascii="Verdana" w:eastAsia="Verdana" w:hAnsi="Verdana" w:cs="Verdana"/>
          <w:sz w:val="20"/>
          <w:szCs w:val="20"/>
        </w:rPr>
        <w:t xml:space="preserve"> Mex. 2019;66(3):329–39.</w:t>
      </w:r>
    </w:p>
    <w:p w14:paraId="0000004A" w14:textId="77777777" w:rsidR="004D5378" w:rsidRDefault="004D5378">
      <w:pPr>
        <w:widowControl w:val="0"/>
        <w:spacing w:line="240" w:lineRule="auto"/>
        <w:ind w:left="0" w:hanging="2"/>
        <w:rPr>
          <w:rFonts w:ascii="Verdana" w:eastAsia="Verdana" w:hAnsi="Verdana" w:cs="Verdana"/>
          <w:sz w:val="20"/>
          <w:szCs w:val="20"/>
        </w:rPr>
      </w:pPr>
    </w:p>
    <w:sectPr w:rsidR="004D537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3D114" w14:textId="77777777" w:rsidR="00867F33" w:rsidRDefault="00867F33">
      <w:pPr>
        <w:spacing w:after="0" w:line="240" w:lineRule="auto"/>
        <w:ind w:left="0" w:hanging="2"/>
      </w:pPr>
      <w:r>
        <w:separator/>
      </w:r>
    </w:p>
  </w:endnote>
  <w:endnote w:type="continuationSeparator" w:id="0">
    <w:p w14:paraId="1CA38C42" w14:textId="77777777" w:rsidR="00867F33" w:rsidRDefault="00867F3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64E74" w14:textId="77777777" w:rsidR="00867F33" w:rsidRDefault="00867F33">
      <w:pPr>
        <w:spacing w:after="0" w:line="240" w:lineRule="auto"/>
        <w:ind w:left="0" w:hanging="2"/>
      </w:pPr>
      <w:r>
        <w:separator/>
      </w:r>
    </w:p>
  </w:footnote>
  <w:footnote w:type="continuationSeparator" w:id="0">
    <w:p w14:paraId="5FD08265" w14:textId="77777777" w:rsidR="00867F33" w:rsidRDefault="00867F33">
      <w:pPr>
        <w:spacing w:after="0" w:line="240" w:lineRule="auto"/>
        <w:ind w:left="0" w:hanging="2"/>
      </w:pPr>
      <w:r>
        <w:continuationSeparator/>
      </w:r>
    </w:p>
  </w:footnote>
  <w:footnote w:id="1">
    <w:p w14:paraId="0000004B" w14:textId="77777777" w:rsidR="004D5378" w:rsidRDefault="00867F33">
      <w:pPr>
        <w:spacing w:after="0" w:line="240" w:lineRule="auto"/>
        <w:ind w:left="0" w:hanging="2"/>
        <w:jc w:val="both"/>
        <w:rPr>
          <w:sz w:val="20"/>
          <w:szCs w:val="20"/>
          <w:shd w:val="clear" w:color="auto" w:fill="B6D7A8"/>
        </w:rPr>
      </w:pPr>
      <w:r>
        <w:rPr>
          <w:vertAlign w:val="superscript"/>
        </w:rPr>
        <w:footnoteRef/>
      </w:r>
      <w:r>
        <w:rPr>
          <w:sz w:val="20"/>
          <w:szCs w:val="20"/>
        </w:rPr>
        <w:t xml:space="preserve"> Cada gramo de azúcar aporta 4 kilocalorías. La cantidad de una cuchara de postre equivale a 4,5 gramos de azúcar. Según el perfil de Nutrientes de la Organización Panamericana de la Salud (OPS) 2016, un producto tiene exceso de azúcares libres, cuando las kilocalorías aportadas provenientes por los azúcares son iguales o superiores al 10 % de las kilocalorías aportadas por la porción establecida por el fabricante en el etiquetado.</w:t>
      </w:r>
    </w:p>
  </w:footnote>
  <w:footnote w:id="2">
    <w:p w14:paraId="0000004C" w14:textId="77777777" w:rsidR="004D5378" w:rsidRDefault="00867F33">
      <w:pPr>
        <w:spacing w:after="0" w:line="240" w:lineRule="auto"/>
        <w:ind w:left="0" w:hanging="2"/>
        <w:jc w:val="both"/>
        <w:rPr>
          <w:sz w:val="20"/>
          <w:szCs w:val="20"/>
        </w:rPr>
      </w:pPr>
      <w:r>
        <w:rPr>
          <w:vertAlign w:val="superscript"/>
        </w:rPr>
        <w:footnoteRef/>
      </w:r>
      <w:r>
        <w:rPr>
          <w:sz w:val="20"/>
          <w:szCs w:val="20"/>
        </w:rPr>
        <w:t xml:space="preserve"> Cada gramo de grasa saturada aporta 9 kilocalorías. La cantidad de una cuchara de postre equivale a 5 mililitros de aceite. Según el perfil de Nutrientes de la Organización Panamericana de la Salud (OPS) 2016, un producto tiene exceso de grasa saturada, cuando las kilocalorías aportadas provenientes de la grasa saturada son iguales o superiores al 10 % de las kilocalorías aportadas por la porción establecida por el fabricante en el etiquetado. </w:t>
      </w:r>
    </w:p>
  </w:footnote>
  <w:footnote w:id="3">
    <w:p w14:paraId="0000004D" w14:textId="77777777" w:rsidR="004D5378" w:rsidRDefault="00867F33">
      <w:pPr>
        <w:spacing w:after="0" w:line="240" w:lineRule="auto"/>
        <w:ind w:left="0" w:hanging="2"/>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Estudiante de pasantía de la carrera de Nutrición y Dietética del Departamento de Nutrición Humana de la Facultad de Medicina de la Universidad Nacional de Colombia.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CC1"/>
    <w:multiLevelType w:val="multilevel"/>
    <w:tmpl w:val="97D8A89E"/>
    <w:lvl w:ilvl="0">
      <w:start w:val="3"/>
      <w:numFmt w:val="bullet"/>
      <w:lvlText w:val="-"/>
      <w:lvlJc w:val="left"/>
      <w:pPr>
        <w:ind w:left="1068" w:hanging="360"/>
      </w:pPr>
      <w:rPr>
        <w:rFonts w:ascii="Calibri" w:eastAsia="Calibri" w:hAnsi="Calibri" w:cs="Calibri"/>
        <w:shd w:val="clear" w:color="auto" w:fill="auto"/>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18FE7871"/>
    <w:multiLevelType w:val="multilevel"/>
    <w:tmpl w:val="9D44A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420CD0"/>
    <w:multiLevelType w:val="multilevel"/>
    <w:tmpl w:val="5FD4D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0B51E8"/>
    <w:multiLevelType w:val="multilevel"/>
    <w:tmpl w:val="041C1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F7867EC"/>
    <w:multiLevelType w:val="multilevel"/>
    <w:tmpl w:val="125A8E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378"/>
    <w:rsid w:val="00182696"/>
    <w:rsid w:val="002F60FA"/>
    <w:rsid w:val="004D5378"/>
    <w:rsid w:val="005F6588"/>
    <w:rsid w:val="00637DD2"/>
    <w:rsid w:val="00867F33"/>
    <w:rsid w:val="008F75C7"/>
    <w:rsid w:val="00933BE6"/>
    <w:rsid w:val="00A91184"/>
    <w:rsid w:val="00B539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30A8"/>
  <w15:docId w15:val="{FC04A9A1-48F6-40F3-A728-69736075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pPr>
      <w:ind w:left="720"/>
      <w:contextualSpacing/>
    </w:pPr>
  </w:style>
  <w:style w:type="character" w:styleId="Refdecomentario">
    <w:name w:val="annotation reference"/>
    <w:qFormat/>
    <w:rPr>
      <w:w w:val="100"/>
      <w:position w:val="-1"/>
      <w:sz w:val="16"/>
      <w:szCs w:val="16"/>
      <w:effect w:val="none"/>
      <w:vertAlign w:val="baseline"/>
      <w:cs w:val="0"/>
      <w:em w:val="none"/>
    </w:rPr>
  </w:style>
  <w:style w:type="paragraph" w:styleId="Textocomentario">
    <w:name w:val="annotation text"/>
    <w:basedOn w:val="Normal"/>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styleId="Textodeglobo">
    <w:name w:val="Balloon Text"/>
    <w:basedOn w:val="Normal"/>
    <w:qFormat/>
    <w:pPr>
      <w:spacing w:after="0" w:line="240" w:lineRule="auto"/>
    </w:pPr>
    <w:rPr>
      <w:rFonts w:ascii="Segoe UI" w:hAnsi="Segoe UI" w:cs="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Asuntodelcomentario">
    <w:name w:val="annotation subject"/>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qFormat/>
    <w:rPr>
      <w:color w:val="0000FF"/>
      <w:w w:val="100"/>
      <w:position w:val="-1"/>
      <w:u w:val="single"/>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apple-converted-space">
    <w:name w:val="apple-converted-space"/>
    <w:basedOn w:val="Fuentedeprrafopredeter"/>
    <w:rPr>
      <w:w w:val="100"/>
      <w:position w:val="-1"/>
      <w:effect w:val="none"/>
      <w:vertAlign w:val="baseline"/>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Sinespaciado">
    <w:name w:val="No Spacing"/>
    <w:pPr>
      <w:suppressAutoHyphens/>
      <w:spacing w:line="1" w:lineRule="atLeast"/>
      <w:ind w:leftChars="-1" w:left="-1" w:hangingChars="1" w:hanging="1"/>
      <w:textDirection w:val="btLr"/>
      <w:textAlignment w:val="top"/>
      <w:outlineLvl w:val="0"/>
    </w:pPr>
    <w:rPr>
      <w:position w:val="-1"/>
      <w:lang w:eastAsia="en-US"/>
    </w:rPr>
  </w:style>
  <w:style w:type="paragraph" w:styleId="Encabezado">
    <w:name w:val="header"/>
    <w:basedOn w:val="Normal"/>
    <w:qFormat/>
    <w:pPr>
      <w:tabs>
        <w:tab w:val="center" w:pos="4419"/>
        <w:tab w:val="right" w:pos="8838"/>
      </w:tabs>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pPr>
      <w:tabs>
        <w:tab w:val="center" w:pos="4419"/>
        <w:tab w:val="right" w:pos="8838"/>
      </w:tabs>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table" w:customStyle="1" w:styleId="TableNormal1">
    <w:name w:val="Table Normal"/>
    <w:next w:val="TableNormal0"/>
    <w:pPr>
      <w:suppressAutoHyphens/>
      <w:ind w:leftChars="-1" w:left="-1" w:hangingChars="1" w:hanging="1"/>
      <w:textDirection w:val="btLr"/>
      <w:textAlignment w:val="top"/>
      <w:outlineLvl w:val="0"/>
    </w:pPr>
    <w:rPr>
      <w:position w:val="-1"/>
    </w:rPr>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ho.org/permiss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fao-who-codexalimentarius/sh-proxy/en/?lnk=1&amp;url=https%253A%252F%252Fworkspace.fao.org%252Fsites%252Fcodex%252FStandards%252FCXS%2B192-1995%252FCXS_192s.pdf" TargetMode="External"/><Relationship Id="rId5" Type="http://schemas.openxmlformats.org/officeDocument/2006/relationships/webSettings" Target="webSettings.xml"/><Relationship Id="rId10" Type="http://schemas.openxmlformats.org/officeDocument/2006/relationships/hyperlink" Target="http://animalsciencejournal.usamv.ro/index.php/scientific-papers/past-issues?id=661" TargetMode="External"/><Relationship Id="rId4" Type="http://schemas.openxmlformats.org/officeDocument/2006/relationships/settings" Target="settings.xml"/><Relationship Id="rId9" Type="http://schemas.openxmlformats.org/officeDocument/2006/relationships/hyperlink" Target="https://doi.org/10.1016/j.tifs.2018.07.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U3qJ9895Iv3s0XKYt2crU9PBQ==">AMUW2mUF+VcEW7Yl1kQQ4NP3nRIo6MWr0FaiT4pmgdSBqSoK5oC9oAzDXITa7aMEHlhwqNLwMln4sfHFzOS1WlwaHvQB6AaH4CGWtXOUsyZIl0aoNRaBuwM/Vr/VpuqnsZADkvqFL8s7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6310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Ardila, Paula</dc:creator>
  <cp:lastModifiedBy>Sharon Carolina Sanchez Franco</cp:lastModifiedBy>
  <cp:revision>2</cp:revision>
  <dcterms:created xsi:type="dcterms:W3CDTF">2022-01-25T19:40:00Z</dcterms:created>
  <dcterms:modified xsi:type="dcterms:W3CDTF">2022-01-25T19:40:00Z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a5ce91f3-ea16-3e76-9a95-fb9303b6318e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